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仿宋_GB2312" w:eastAsia="仿宋_GB2312"/>
          <w:color w:val="000000" w:themeColor="text1"/>
          <w:sz w:val="32"/>
          <w:szCs w:val="32"/>
        </w:rPr>
      </w:pPr>
      <w:r>
        <w:rPr>
          <w:rFonts w:hint="eastAsia" w:ascii="仿宋_GB2312" w:eastAsia="仿宋_GB2312"/>
          <w:color w:val="000000" w:themeColor="text1"/>
          <w:sz w:val="32"/>
          <w:szCs w:val="32"/>
        </w:rPr>
        <w:t>附件1</w:t>
      </w:r>
    </w:p>
    <w:p>
      <w:pPr>
        <w:spacing w:line="560" w:lineRule="exact"/>
        <w:jc w:val="center"/>
        <w:rPr>
          <w:rFonts w:ascii="方正小标宋简体" w:eastAsia="方正小标宋简体"/>
          <w:color w:val="000000" w:themeColor="text1"/>
          <w:sz w:val="44"/>
          <w:szCs w:val="44"/>
        </w:rPr>
      </w:pPr>
      <w:r>
        <w:rPr>
          <w:rFonts w:hint="eastAsia" w:ascii="方正小标宋简体" w:eastAsia="方正小标宋简体"/>
          <w:color w:val="000000" w:themeColor="text1"/>
          <w:sz w:val="44"/>
          <w:szCs w:val="44"/>
        </w:rPr>
        <w:t>上海电力大学基层党支部建设情况自评打分表</w:t>
      </w:r>
    </w:p>
    <w:p>
      <w:pPr>
        <w:spacing w:line="560" w:lineRule="exact"/>
        <w:rPr>
          <w:rFonts w:ascii="仿宋_GB2312" w:eastAsia="仿宋_GB2312"/>
          <w:color w:val="000000" w:themeColor="text1"/>
          <w:sz w:val="24"/>
          <w:szCs w:val="24"/>
        </w:rPr>
      </w:pPr>
      <w:r>
        <w:rPr>
          <w:rFonts w:hint="eastAsia" w:ascii="仿宋_GB2312" w:eastAsia="仿宋_GB2312"/>
          <w:color w:val="000000" w:themeColor="text1"/>
          <w:sz w:val="24"/>
          <w:szCs w:val="24"/>
        </w:rPr>
        <w:t>所属二级党组织名称：                                  党支部名称：                         党支部书记姓名：</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11"/>
        <w:gridCol w:w="127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611" w:type="dxa"/>
          </w:tcPr>
          <w:p>
            <w:pPr>
              <w:snapToGrid w:val="0"/>
              <w:spacing w:line="560" w:lineRule="exact"/>
              <w:jc w:val="center"/>
              <w:rPr>
                <w:rFonts w:ascii="仿宋_GB2312" w:eastAsia="仿宋_GB2312"/>
                <w:b/>
                <w:color w:val="000000" w:themeColor="text1"/>
                <w:szCs w:val="21"/>
              </w:rPr>
            </w:pPr>
            <w:r>
              <w:rPr>
                <w:rFonts w:hint="eastAsia" w:ascii="仿宋_GB2312" w:eastAsia="仿宋_GB2312"/>
                <w:b/>
                <w:color w:val="000000" w:themeColor="text1"/>
                <w:szCs w:val="21"/>
              </w:rPr>
              <w:t>自评事项</w:t>
            </w:r>
          </w:p>
        </w:tc>
        <w:tc>
          <w:tcPr>
            <w:tcW w:w="1276" w:type="dxa"/>
          </w:tcPr>
          <w:p>
            <w:pPr>
              <w:snapToGrid w:val="0"/>
              <w:jc w:val="center"/>
              <w:rPr>
                <w:rFonts w:ascii="仿宋_GB2312" w:eastAsia="仿宋_GB2312"/>
                <w:b/>
                <w:color w:val="000000" w:themeColor="text1"/>
                <w:szCs w:val="21"/>
              </w:rPr>
            </w:pPr>
            <w:r>
              <w:rPr>
                <w:rFonts w:hint="eastAsia" w:ascii="仿宋_GB2312" w:eastAsia="仿宋_GB2312"/>
                <w:b/>
                <w:color w:val="000000" w:themeColor="text1"/>
                <w:szCs w:val="21"/>
              </w:rPr>
              <w:t>单项满分值</w:t>
            </w:r>
          </w:p>
        </w:tc>
        <w:tc>
          <w:tcPr>
            <w:tcW w:w="1134" w:type="dxa"/>
          </w:tcPr>
          <w:p>
            <w:pPr>
              <w:snapToGrid w:val="0"/>
              <w:jc w:val="center"/>
              <w:rPr>
                <w:rFonts w:ascii="仿宋_GB2312" w:eastAsia="仿宋_GB2312"/>
                <w:b/>
                <w:color w:val="000000" w:themeColor="text1"/>
                <w:szCs w:val="21"/>
              </w:rPr>
            </w:pPr>
            <w:r>
              <w:rPr>
                <w:rFonts w:hint="eastAsia" w:ascii="仿宋_GB2312" w:eastAsia="仿宋_GB2312"/>
                <w:b/>
                <w:color w:val="000000" w:themeColor="text1"/>
                <w:szCs w:val="21"/>
              </w:rPr>
              <w:t>自评分值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11" w:type="dxa"/>
          </w:tcPr>
          <w:p>
            <w:pPr>
              <w:rPr>
                <w:rFonts w:ascii="仿宋_GB2312" w:eastAsia="仿宋_GB2312"/>
                <w:color w:val="000000" w:themeColor="text1"/>
                <w:szCs w:val="21"/>
              </w:rPr>
            </w:pPr>
            <w:r>
              <w:rPr>
                <w:rFonts w:hint="eastAsia" w:ascii="仿宋_GB2312" w:eastAsia="仿宋_GB2312"/>
                <w:color w:val="000000" w:themeColor="text1"/>
                <w:szCs w:val="21"/>
              </w:rPr>
              <w:t>1.贯彻落实我校《加强新形势下教工党支部建设的意见》《加强新形势下学生党支部建设的意见》，推进党支部标准化、规范化建设，充分发挥党支部的主体作用，推动全面从严治党向基层延伸。</w:t>
            </w:r>
          </w:p>
        </w:tc>
        <w:tc>
          <w:tcPr>
            <w:tcW w:w="1276" w:type="dxa"/>
          </w:tcPr>
          <w:p>
            <w:pPr>
              <w:spacing w:line="560" w:lineRule="exact"/>
              <w:jc w:val="center"/>
              <w:rPr>
                <w:rFonts w:ascii="仿宋_GB2312" w:eastAsia="仿宋_GB2312"/>
                <w:color w:val="000000" w:themeColor="text1"/>
                <w:szCs w:val="21"/>
              </w:rPr>
            </w:pPr>
            <w:r>
              <w:rPr>
                <w:rFonts w:hint="eastAsia" w:ascii="仿宋_GB2312" w:eastAsia="仿宋_GB2312"/>
                <w:color w:val="000000" w:themeColor="text1"/>
                <w:szCs w:val="21"/>
              </w:rPr>
              <w:t>5</w:t>
            </w:r>
          </w:p>
        </w:tc>
        <w:tc>
          <w:tcPr>
            <w:tcW w:w="1134" w:type="dxa"/>
          </w:tcPr>
          <w:p>
            <w:pPr>
              <w:spacing w:line="560" w:lineRule="exact"/>
              <w:rPr>
                <w:rFonts w:ascii="仿宋_GB2312" w:eastAsia="仿宋_GB2312"/>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2611" w:type="dxa"/>
          </w:tcPr>
          <w:p>
            <w:pPr>
              <w:rPr>
                <w:rFonts w:ascii="仿宋_GB2312" w:eastAsia="仿宋_GB2312"/>
                <w:color w:val="000000" w:themeColor="text1"/>
                <w:szCs w:val="21"/>
              </w:rPr>
            </w:pPr>
            <w:r>
              <w:rPr>
                <w:rFonts w:hint="eastAsia" w:ascii="仿宋_GB2312" w:eastAsia="仿宋_GB2312"/>
                <w:color w:val="000000" w:themeColor="text1"/>
                <w:szCs w:val="21"/>
              </w:rPr>
              <w:t>2.党支部按期换届，换届程序规范。有正式党员7人以上的党支部，设立党支部委员会，支委班子健全。</w:t>
            </w:r>
          </w:p>
        </w:tc>
        <w:tc>
          <w:tcPr>
            <w:tcW w:w="1276" w:type="dxa"/>
          </w:tcPr>
          <w:p>
            <w:pPr>
              <w:spacing w:line="560" w:lineRule="exact"/>
              <w:jc w:val="center"/>
              <w:rPr>
                <w:rFonts w:ascii="仿宋_GB2312" w:eastAsia="仿宋_GB2312"/>
                <w:color w:val="000000" w:themeColor="text1"/>
                <w:szCs w:val="21"/>
              </w:rPr>
            </w:pPr>
            <w:r>
              <w:rPr>
                <w:rFonts w:hint="eastAsia" w:ascii="仿宋_GB2312" w:eastAsia="仿宋_GB2312"/>
                <w:color w:val="000000" w:themeColor="text1"/>
                <w:szCs w:val="21"/>
              </w:rPr>
              <w:t>5</w:t>
            </w:r>
          </w:p>
        </w:tc>
        <w:tc>
          <w:tcPr>
            <w:tcW w:w="1134" w:type="dxa"/>
          </w:tcPr>
          <w:p>
            <w:pPr>
              <w:spacing w:line="560" w:lineRule="exact"/>
              <w:rPr>
                <w:rFonts w:ascii="仿宋_GB2312" w:eastAsia="仿宋_GB2312"/>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11" w:type="dxa"/>
          </w:tcPr>
          <w:p>
            <w:pPr>
              <w:rPr>
                <w:rFonts w:ascii="仿宋_GB2312" w:eastAsia="仿宋_GB2312"/>
                <w:color w:val="000000" w:themeColor="text1"/>
                <w:szCs w:val="21"/>
              </w:rPr>
            </w:pPr>
            <w:r>
              <w:rPr>
                <w:rFonts w:hint="eastAsia" w:ascii="仿宋_GB2312" w:eastAsia="仿宋_GB2312"/>
                <w:color w:val="000000" w:themeColor="text1"/>
                <w:szCs w:val="21"/>
              </w:rPr>
              <w:t>3.落实《中国共产党党员教育管理工作条例》，深入推进党员教育工作体系化。宣传和执行党的路线方针政策以及上级党组织的决议，团结师生员工，在完成教学科研管理任务中发挥党员先锋模范作用；组织、督促党员每年集中学习培训时间一般不少于32学时</w:t>
            </w:r>
            <w:r>
              <w:rPr>
                <w:rFonts w:hint="eastAsia" w:ascii="仿宋_GB2312" w:eastAsia="仿宋_GB2312"/>
                <w:szCs w:val="21"/>
              </w:rPr>
              <w:t>。预备党员在预备期内和转正后1年内一般要各参加1次由上级党组织组织的集中培训。</w:t>
            </w:r>
          </w:p>
        </w:tc>
        <w:tc>
          <w:tcPr>
            <w:tcW w:w="1276" w:type="dxa"/>
          </w:tcPr>
          <w:p>
            <w:pPr>
              <w:spacing w:line="560" w:lineRule="exact"/>
              <w:jc w:val="center"/>
              <w:rPr>
                <w:rFonts w:ascii="仿宋_GB2312" w:eastAsia="仿宋_GB2312"/>
                <w:color w:val="000000" w:themeColor="text1"/>
                <w:szCs w:val="21"/>
              </w:rPr>
            </w:pPr>
            <w:r>
              <w:rPr>
                <w:rFonts w:hint="eastAsia" w:ascii="仿宋_GB2312" w:eastAsia="仿宋_GB2312"/>
                <w:color w:val="000000" w:themeColor="text1"/>
                <w:szCs w:val="21"/>
              </w:rPr>
              <w:t>5</w:t>
            </w:r>
          </w:p>
        </w:tc>
        <w:tc>
          <w:tcPr>
            <w:tcW w:w="1134" w:type="dxa"/>
          </w:tcPr>
          <w:p>
            <w:pPr>
              <w:spacing w:line="560" w:lineRule="exact"/>
              <w:rPr>
                <w:rFonts w:ascii="仿宋_GB2312" w:eastAsia="仿宋_GB2312"/>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11" w:type="dxa"/>
          </w:tcPr>
          <w:p>
            <w:pPr>
              <w:rPr>
                <w:rFonts w:ascii="仿宋_GB2312" w:eastAsia="仿宋_GB2312"/>
                <w:color w:val="000000" w:themeColor="text1"/>
                <w:szCs w:val="21"/>
              </w:rPr>
            </w:pPr>
            <w:r>
              <w:rPr>
                <w:rFonts w:hint="eastAsia" w:ascii="仿宋_GB2312" w:eastAsia="仿宋_GB2312"/>
                <w:color w:val="000000" w:themeColor="text1"/>
                <w:szCs w:val="21"/>
              </w:rPr>
              <w:t>4.党支部严格执行党的组织生活制度，经常、认真、严肃地开展批评和自我批评，增强党内政治生活的政治性、时代性、原则性、战斗性。党员领导干部带头参加所在党支部或者党小组组织生活。</w:t>
            </w:r>
          </w:p>
        </w:tc>
        <w:tc>
          <w:tcPr>
            <w:tcW w:w="1276" w:type="dxa"/>
          </w:tcPr>
          <w:p>
            <w:pPr>
              <w:spacing w:line="560" w:lineRule="exact"/>
              <w:jc w:val="center"/>
              <w:rPr>
                <w:rFonts w:ascii="仿宋_GB2312" w:eastAsia="仿宋_GB2312"/>
                <w:color w:val="000000" w:themeColor="text1"/>
                <w:szCs w:val="21"/>
              </w:rPr>
            </w:pPr>
            <w:r>
              <w:rPr>
                <w:rFonts w:hint="eastAsia" w:ascii="仿宋_GB2312" w:eastAsia="仿宋_GB2312"/>
                <w:color w:val="000000" w:themeColor="text1"/>
                <w:szCs w:val="21"/>
              </w:rPr>
              <w:t>5</w:t>
            </w:r>
          </w:p>
        </w:tc>
        <w:tc>
          <w:tcPr>
            <w:tcW w:w="1134" w:type="dxa"/>
          </w:tcPr>
          <w:p>
            <w:pPr>
              <w:spacing w:line="560" w:lineRule="exact"/>
              <w:rPr>
                <w:rFonts w:ascii="仿宋_GB2312" w:eastAsia="仿宋_GB2312"/>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11" w:type="dxa"/>
          </w:tcPr>
          <w:p>
            <w:pPr>
              <w:rPr>
                <w:rFonts w:ascii="仿宋_GB2312" w:eastAsia="仿宋_GB2312"/>
                <w:color w:val="000000" w:themeColor="text1"/>
                <w:szCs w:val="21"/>
              </w:rPr>
            </w:pPr>
            <w:r>
              <w:rPr>
                <w:rFonts w:hint="eastAsia" w:ascii="仿宋_GB2312" w:eastAsia="仿宋_GB2312"/>
                <w:color w:val="000000" w:themeColor="text1"/>
                <w:szCs w:val="21"/>
              </w:rPr>
              <w:t>5.党支部组织党员按期参加党员大会（一般每季度召开一次）、党小组会（一般每月召开一次）和上党课（一般每季度召开一次），定期召开党支部委员会会议（一般每月召开一次），“三会一课”党员出勤情况好。</w:t>
            </w:r>
          </w:p>
        </w:tc>
        <w:tc>
          <w:tcPr>
            <w:tcW w:w="1276" w:type="dxa"/>
          </w:tcPr>
          <w:p>
            <w:pPr>
              <w:spacing w:line="560" w:lineRule="exact"/>
              <w:jc w:val="center"/>
              <w:rPr>
                <w:rFonts w:ascii="仿宋_GB2312" w:eastAsia="仿宋_GB2312"/>
                <w:color w:val="000000" w:themeColor="text1"/>
                <w:szCs w:val="21"/>
              </w:rPr>
            </w:pPr>
            <w:r>
              <w:rPr>
                <w:rFonts w:hint="eastAsia" w:ascii="仿宋_GB2312" w:eastAsia="仿宋_GB2312"/>
                <w:color w:val="000000" w:themeColor="text1"/>
                <w:szCs w:val="21"/>
              </w:rPr>
              <w:t>5</w:t>
            </w:r>
          </w:p>
        </w:tc>
        <w:tc>
          <w:tcPr>
            <w:tcW w:w="1134" w:type="dxa"/>
          </w:tcPr>
          <w:p>
            <w:pPr>
              <w:spacing w:line="560" w:lineRule="exact"/>
              <w:rPr>
                <w:rFonts w:ascii="仿宋_GB2312" w:eastAsia="仿宋_GB2312"/>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11" w:type="dxa"/>
          </w:tcPr>
          <w:p>
            <w:pPr>
              <w:rPr>
                <w:rFonts w:ascii="仿宋_GB2312" w:eastAsia="仿宋_GB2312"/>
                <w:color w:val="000000" w:themeColor="text1"/>
                <w:szCs w:val="21"/>
              </w:rPr>
            </w:pPr>
            <w:r>
              <w:rPr>
                <w:rFonts w:hint="eastAsia" w:ascii="仿宋_GB2312" w:eastAsia="仿宋_GB2312"/>
                <w:color w:val="000000" w:themeColor="text1"/>
                <w:szCs w:val="21"/>
              </w:rPr>
              <w:t>6.“三会一课”突出政治学习和教育，突出党性锻炼，学习上海市十二次党代会精神，结合党员思想和工作实际，确定主题和具体方式，做到形式多样、氛围庄重。</w:t>
            </w:r>
          </w:p>
        </w:tc>
        <w:tc>
          <w:tcPr>
            <w:tcW w:w="1276" w:type="dxa"/>
          </w:tcPr>
          <w:p>
            <w:pPr>
              <w:spacing w:line="560" w:lineRule="exact"/>
              <w:jc w:val="center"/>
              <w:rPr>
                <w:rFonts w:ascii="仿宋_GB2312" w:eastAsia="仿宋_GB2312"/>
                <w:color w:val="000000" w:themeColor="text1"/>
                <w:szCs w:val="21"/>
              </w:rPr>
            </w:pPr>
            <w:r>
              <w:rPr>
                <w:rFonts w:hint="eastAsia" w:ascii="仿宋_GB2312" w:eastAsia="仿宋_GB2312"/>
                <w:color w:val="000000" w:themeColor="text1"/>
                <w:szCs w:val="21"/>
              </w:rPr>
              <w:t>10</w:t>
            </w:r>
          </w:p>
        </w:tc>
        <w:tc>
          <w:tcPr>
            <w:tcW w:w="1134" w:type="dxa"/>
          </w:tcPr>
          <w:p>
            <w:pPr>
              <w:spacing w:line="560" w:lineRule="exact"/>
              <w:rPr>
                <w:rFonts w:ascii="仿宋_GB2312" w:eastAsia="仿宋_GB2312"/>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2611" w:type="dxa"/>
          </w:tcPr>
          <w:p>
            <w:pPr>
              <w:rPr>
                <w:rFonts w:ascii="仿宋_GB2312" w:eastAsia="仿宋_GB2312"/>
                <w:color w:val="000000" w:themeColor="text1"/>
                <w:szCs w:val="21"/>
              </w:rPr>
            </w:pPr>
            <w:r>
              <w:rPr>
                <w:rFonts w:hint="eastAsia" w:ascii="仿宋_GB2312" w:eastAsia="仿宋_GB2312"/>
                <w:color w:val="000000" w:themeColor="text1"/>
                <w:szCs w:val="21"/>
              </w:rPr>
              <w:t>7.党课针对党员思想和工作实际，回应普遍关心的问题，注重身边人讲身边事，吸引力感染力强。</w:t>
            </w:r>
          </w:p>
        </w:tc>
        <w:tc>
          <w:tcPr>
            <w:tcW w:w="1276" w:type="dxa"/>
          </w:tcPr>
          <w:p>
            <w:pPr>
              <w:spacing w:line="560" w:lineRule="exact"/>
              <w:jc w:val="center"/>
              <w:rPr>
                <w:rFonts w:ascii="仿宋_GB2312" w:eastAsia="仿宋_GB2312"/>
                <w:color w:val="000000" w:themeColor="text1"/>
                <w:szCs w:val="21"/>
              </w:rPr>
            </w:pPr>
            <w:r>
              <w:rPr>
                <w:rFonts w:hint="eastAsia" w:ascii="仿宋_GB2312" w:eastAsia="仿宋_GB2312"/>
                <w:color w:val="000000" w:themeColor="text1"/>
                <w:szCs w:val="21"/>
              </w:rPr>
              <w:t>3</w:t>
            </w:r>
          </w:p>
        </w:tc>
        <w:tc>
          <w:tcPr>
            <w:tcW w:w="1134" w:type="dxa"/>
          </w:tcPr>
          <w:p>
            <w:pPr>
              <w:spacing w:line="560" w:lineRule="exact"/>
              <w:rPr>
                <w:rFonts w:ascii="仿宋_GB2312" w:eastAsia="仿宋_GB2312"/>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11" w:type="dxa"/>
          </w:tcPr>
          <w:p>
            <w:pPr>
              <w:rPr>
                <w:rFonts w:ascii="仿宋_GB2312" w:eastAsia="仿宋_GB2312"/>
                <w:color w:val="000000" w:themeColor="text1"/>
                <w:szCs w:val="21"/>
              </w:rPr>
            </w:pPr>
            <w:r>
              <w:rPr>
                <w:rFonts w:hint="eastAsia" w:ascii="仿宋_GB2312" w:eastAsia="仿宋_GB2312"/>
                <w:color w:val="000000" w:themeColor="text1"/>
                <w:szCs w:val="21"/>
              </w:rPr>
              <w:t>8.党支部每月相对固定1天开展主题党日，组织党员集中学习、过组织生活、进行民主议事和志愿服务等。主题党日开展前，党支部认真研究确定主题和内容；开展后，抓好议定事项的组织落实。</w:t>
            </w:r>
          </w:p>
        </w:tc>
        <w:tc>
          <w:tcPr>
            <w:tcW w:w="1276" w:type="dxa"/>
          </w:tcPr>
          <w:p>
            <w:pPr>
              <w:spacing w:line="560" w:lineRule="exact"/>
              <w:jc w:val="center"/>
              <w:rPr>
                <w:rFonts w:ascii="仿宋_GB2312" w:eastAsia="仿宋_GB2312"/>
                <w:color w:val="000000" w:themeColor="text1"/>
                <w:szCs w:val="21"/>
              </w:rPr>
            </w:pPr>
            <w:r>
              <w:rPr>
                <w:rFonts w:hint="eastAsia" w:ascii="仿宋_GB2312" w:eastAsia="仿宋_GB2312"/>
                <w:color w:val="000000" w:themeColor="text1"/>
                <w:szCs w:val="21"/>
              </w:rPr>
              <w:t>3</w:t>
            </w:r>
          </w:p>
        </w:tc>
        <w:tc>
          <w:tcPr>
            <w:tcW w:w="1134" w:type="dxa"/>
          </w:tcPr>
          <w:p>
            <w:pPr>
              <w:spacing w:line="560" w:lineRule="exact"/>
              <w:rPr>
                <w:rFonts w:ascii="仿宋_GB2312" w:eastAsia="仿宋_GB2312"/>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11" w:type="dxa"/>
          </w:tcPr>
          <w:p>
            <w:pPr>
              <w:rPr>
                <w:rFonts w:ascii="仿宋_GB2312" w:eastAsia="仿宋_GB2312"/>
                <w:color w:val="000000" w:themeColor="text1"/>
                <w:szCs w:val="21"/>
              </w:rPr>
            </w:pPr>
            <w:r>
              <w:rPr>
                <w:rFonts w:hint="eastAsia" w:ascii="仿宋_GB2312" w:eastAsia="仿宋_GB2312"/>
                <w:color w:val="000000" w:themeColor="text1"/>
                <w:szCs w:val="21"/>
              </w:rPr>
              <w:t>9.党支部根据上级要求召开好组织生活会。组织生活会一般以党支部党员大会、党支部委员会会议或者党小组会形式召开。组织生活会确定主题，会前认真学习，谈心谈话，听取意见；会上查摆问题，开展批评和自我批评，明确整改方向；会后制定整改措施，逐一整改落实。</w:t>
            </w:r>
          </w:p>
        </w:tc>
        <w:tc>
          <w:tcPr>
            <w:tcW w:w="1276" w:type="dxa"/>
          </w:tcPr>
          <w:p>
            <w:pPr>
              <w:spacing w:line="560" w:lineRule="exact"/>
              <w:jc w:val="center"/>
              <w:rPr>
                <w:rFonts w:ascii="仿宋_GB2312" w:eastAsia="仿宋_GB2312"/>
                <w:color w:val="000000" w:themeColor="text1"/>
                <w:szCs w:val="21"/>
              </w:rPr>
            </w:pPr>
            <w:r>
              <w:rPr>
                <w:rFonts w:hint="eastAsia" w:ascii="仿宋_GB2312" w:eastAsia="仿宋_GB2312"/>
                <w:color w:val="000000" w:themeColor="text1"/>
                <w:szCs w:val="21"/>
              </w:rPr>
              <w:t>3</w:t>
            </w:r>
          </w:p>
        </w:tc>
        <w:tc>
          <w:tcPr>
            <w:tcW w:w="1134" w:type="dxa"/>
          </w:tcPr>
          <w:p>
            <w:pPr>
              <w:spacing w:line="560" w:lineRule="exact"/>
              <w:rPr>
                <w:rFonts w:ascii="仿宋_GB2312" w:eastAsia="仿宋_GB2312"/>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11" w:type="dxa"/>
          </w:tcPr>
          <w:p>
            <w:pPr>
              <w:rPr>
                <w:rFonts w:ascii="仿宋_GB2312" w:eastAsia="仿宋_GB2312"/>
                <w:color w:val="000000" w:themeColor="text1"/>
                <w:szCs w:val="21"/>
              </w:rPr>
            </w:pPr>
            <w:r>
              <w:rPr>
                <w:rFonts w:hint="eastAsia" w:ascii="仿宋_GB2312" w:eastAsia="仿宋_GB2312"/>
                <w:color w:val="000000" w:themeColor="text1"/>
                <w:szCs w:val="21"/>
              </w:rPr>
              <w:t>10.党支部一般每年开展1次民主评议党员，组织党员对照合格党员标准、对照入党誓词，联系个人实际进行党性分析。党支部召开党员大会，按照个人自评、党员互评、民主测评的程序，组织党员进行评议。党员人数较多的党支部，个人自评和党员互评可以在党小组范围内进行。党支部委员会会议或者党员大会根据评议情况和党员日常表现情况，提出评定意见。</w:t>
            </w:r>
          </w:p>
        </w:tc>
        <w:tc>
          <w:tcPr>
            <w:tcW w:w="1276" w:type="dxa"/>
          </w:tcPr>
          <w:p>
            <w:pPr>
              <w:spacing w:line="560" w:lineRule="exact"/>
              <w:jc w:val="center"/>
              <w:rPr>
                <w:rFonts w:ascii="仿宋_GB2312" w:eastAsia="仿宋_GB2312"/>
                <w:color w:val="000000" w:themeColor="text1"/>
                <w:szCs w:val="21"/>
              </w:rPr>
            </w:pPr>
            <w:r>
              <w:rPr>
                <w:rFonts w:hint="eastAsia" w:ascii="仿宋_GB2312" w:eastAsia="仿宋_GB2312"/>
                <w:color w:val="000000" w:themeColor="text1"/>
                <w:szCs w:val="21"/>
              </w:rPr>
              <w:t>3</w:t>
            </w:r>
          </w:p>
        </w:tc>
        <w:tc>
          <w:tcPr>
            <w:tcW w:w="1134" w:type="dxa"/>
          </w:tcPr>
          <w:p>
            <w:pPr>
              <w:spacing w:line="560" w:lineRule="exact"/>
              <w:rPr>
                <w:rFonts w:ascii="仿宋_GB2312" w:eastAsia="仿宋_GB2312"/>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11" w:type="dxa"/>
          </w:tcPr>
          <w:p>
            <w:pPr>
              <w:rPr>
                <w:rFonts w:ascii="仿宋_GB2312" w:eastAsia="仿宋_GB2312"/>
                <w:color w:val="000000" w:themeColor="text1"/>
                <w:szCs w:val="21"/>
              </w:rPr>
            </w:pPr>
            <w:r>
              <w:rPr>
                <w:rFonts w:hint="eastAsia" w:ascii="仿宋_GB2312" w:eastAsia="仿宋_GB2312"/>
                <w:color w:val="000000" w:themeColor="text1"/>
                <w:szCs w:val="21"/>
              </w:rPr>
              <w:t>11.党支部应当经常开展谈心谈话。党支部委员之间、党支部委员和党员之间、党员和党员之间，每年谈心谈话一般不少于1次。谈心谈话坦诚相见、交流思想、交换意见、帮助提高。党支部注重分析党员思想状况和心理状态。对家庭发生重大变故和出现重大困难、身心健康存在突出问题等情况的党员，党支部书记帮助做好心理疏导；对受到处分处置以及有不良反映的党员，党支部书记有针对性地做好思想政治工作。</w:t>
            </w:r>
          </w:p>
        </w:tc>
        <w:tc>
          <w:tcPr>
            <w:tcW w:w="1276" w:type="dxa"/>
          </w:tcPr>
          <w:p>
            <w:pPr>
              <w:spacing w:line="560" w:lineRule="exact"/>
              <w:jc w:val="center"/>
              <w:rPr>
                <w:rFonts w:ascii="仿宋_GB2312" w:eastAsia="仿宋_GB2312"/>
                <w:color w:val="000000" w:themeColor="text1"/>
                <w:szCs w:val="21"/>
              </w:rPr>
            </w:pPr>
            <w:r>
              <w:rPr>
                <w:rFonts w:hint="eastAsia" w:ascii="仿宋_GB2312" w:eastAsia="仿宋_GB2312"/>
                <w:color w:val="000000" w:themeColor="text1"/>
                <w:szCs w:val="21"/>
              </w:rPr>
              <w:t>3</w:t>
            </w:r>
          </w:p>
        </w:tc>
        <w:tc>
          <w:tcPr>
            <w:tcW w:w="1134" w:type="dxa"/>
          </w:tcPr>
          <w:p>
            <w:pPr>
              <w:spacing w:line="560" w:lineRule="exact"/>
              <w:rPr>
                <w:rFonts w:ascii="仿宋_GB2312" w:eastAsia="仿宋_GB2312"/>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11" w:type="dxa"/>
          </w:tcPr>
          <w:p>
            <w:pPr>
              <w:rPr>
                <w:rFonts w:ascii="仿宋_GB2312" w:eastAsia="仿宋_GB2312"/>
                <w:color w:val="000000" w:themeColor="text1"/>
                <w:szCs w:val="21"/>
              </w:rPr>
            </w:pPr>
            <w:r>
              <w:rPr>
                <w:rFonts w:hint="eastAsia" w:ascii="仿宋_GB2312" w:eastAsia="仿宋_GB2312"/>
                <w:color w:val="000000" w:themeColor="text1"/>
                <w:szCs w:val="21"/>
              </w:rPr>
              <w:t>12.严格党员日常管理，组织关系管理有序，党费收缴管理规范，落实毕业生党员组织关系管理、失联党员规范管理和组织处置有关规定,依规稳妥处置不合格党员。对出国（境）学习研究的党员，按规定做好保持联系和党籍管理等工作。</w:t>
            </w:r>
          </w:p>
        </w:tc>
        <w:tc>
          <w:tcPr>
            <w:tcW w:w="1276" w:type="dxa"/>
          </w:tcPr>
          <w:p>
            <w:pPr>
              <w:spacing w:line="560" w:lineRule="exact"/>
              <w:jc w:val="center"/>
              <w:rPr>
                <w:rFonts w:ascii="仿宋_GB2312" w:eastAsia="仿宋_GB2312"/>
                <w:color w:val="000000" w:themeColor="text1"/>
                <w:szCs w:val="21"/>
              </w:rPr>
            </w:pPr>
            <w:r>
              <w:rPr>
                <w:rFonts w:hint="eastAsia" w:ascii="仿宋_GB2312" w:eastAsia="仿宋_GB2312"/>
                <w:color w:val="000000" w:themeColor="text1"/>
                <w:szCs w:val="21"/>
              </w:rPr>
              <w:t>5</w:t>
            </w:r>
          </w:p>
        </w:tc>
        <w:tc>
          <w:tcPr>
            <w:tcW w:w="1134" w:type="dxa"/>
          </w:tcPr>
          <w:p>
            <w:pPr>
              <w:spacing w:line="560" w:lineRule="exact"/>
              <w:rPr>
                <w:rFonts w:ascii="仿宋_GB2312" w:eastAsia="仿宋_GB2312"/>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11" w:type="dxa"/>
          </w:tcPr>
          <w:p>
            <w:pPr>
              <w:rPr>
                <w:rFonts w:ascii="仿宋_GB2312" w:eastAsia="仿宋_GB2312"/>
                <w:color w:val="000000" w:themeColor="text1"/>
                <w:szCs w:val="21"/>
              </w:rPr>
            </w:pPr>
            <w:r>
              <w:rPr>
                <w:rFonts w:hint="eastAsia" w:ascii="仿宋_GB2312" w:eastAsia="仿宋_GB2312"/>
                <w:color w:val="000000" w:themeColor="text1"/>
                <w:szCs w:val="21"/>
              </w:rPr>
              <w:t>13.组织师生党员充分发挥先锋模范作用，带头攻坚克难，承担重大改革发展稳定任务，密切联系群众，经常性听取师生员工意见和诉求，维护他们的正当权利和利益。在疫情防控保卫战中，充分发挥</w:t>
            </w:r>
            <w:r>
              <w:rPr>
                <w:rFonts w:ascii="仿宋_GB2312" w:eastAsia="仿宋_GB2312"/>
                <w:color w:val="000000" w:themeColor="text1"/>
                <w:szCs w:val="21"/>
              </w:rPr>
              <w:t>党</w:t>
            </w:r>
            <w:r>
              <w:rPr>
                <w:rFonts w:hint="eastAsia" w:ascii="仿宋_GB2312" w:eastAsia="仿宋_GB2312"/>
                <w:color w:val="000000" w:themeColor="text1"/>
                <w:szCs w:val="21"/>
              </w:rPr>
              <w:t>支部的</w:t>
            </w:r>
            <w:r>
              <w:rPr>
                <w:rFonts w:ascii="仿宋_GB2312" w:eastAsia="仿宋_GB2312"/>
                <w:color w:val="000000" w:themeColor="text1"/>
                <w:szCs w:val="21"/>
              </w:rPr>
              <w:t>战斗堡垒作用和党员先锋模范作用</w:t>
            </w:r>
            <w:r>
              <w:rPr>
                <w:rFonts w:hint="eastAsia" w:ascii="仿宋_GB2312" w:eastAsia="仿宋_GB2312"/>
                <w:color w:val="000000" w:themeColor="text1"/>
                <w:szCs w:val="21"/>
              </w:rPr>
              <w:t>。</w:t>
            </w:r>
          </w:p>
        </w:tc>
        <w:tc>
          <w:tcPr>
            <w:tcW w:w="1276" w:type="dxa"/>
          </w:tcPr>
          <w:p>
            <w:pPr>
              <w:spacing w:line="560" w:lineRule="exact"/>
              <w:jc w:val="center"/>
              <w:rPr>
                <w:rFonts w:ascii="仿宋_GB2312" w:eastAsia="仿宋_GB2312"/>
                <w:color w:val="000000" w:themeColor="text1"/>
                <w:szCs w:val="21"/>
              </w:rPr>
            </w:pPr>
            <w:r>
              <w:rPr>
                <w:rFonts w:hint="eastAsia" w:ascii="仿宋_GB2312" w:eastAsia="仿宋_GB2312"/>
                <w:color w:val="000000" w:themeColor="text1"/>
                <w:szCs w:val="21"/>
              </w:rPr>
              <w:t>5</w:t>
            </w:r>
          </w:p>
        </w:tc>
        <w:tc>
          <w:tcPr>
            <w:tcW w:w="1134" w:type="dxa"/>
          </w:tcPr>
          <w:p>
            <w:pPr>
              <w:spacing w:line="560" w:lineRule="exact"/>
              <w:rPr>
                <w:rFonts w:ascii="仿宋_GB2312" w:eastAsia="仿宋_GB2312"/>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11" w:type="dxa"/>
            <w:vAlign w:val="center"/>
          </w:tcPr>
          <w:p>
            <w:pPr>
              <w:rPr>
                <w:rFonts w:ascii="仿宋_GB2312" w:eastAsia="仿宋_GB2312"/>
                <w:color w:val="000000" w:themeColor="text1"/>
                <w:szCs w:val="21"/>
              </w:rPr>
            </w:pPr>
            <w:r>
              <w:rPr>
                <w:rFonts w:hint="eastAsia" w:ascii="仿宋_GB2312" w:eastAsia="仿宋_GB2312"/>
                <w:color w:val="000000" w:themeColor="text1"/>
                <w:szCs w:val="21"/>
              </w:rPr>
              <w:t>14.严格落实《中国共产党发展党员工作细则》各项程序和规范要求。坚持把政治标准放在首位,严把质量关，认真落实政治审查等制度,坚决防止出现“弄虚作假”“带病入党”“近亲繁殖”“人情党员”。</w:t>
            </w:r>
          </w:p>
        </w:tc>
        <w:tc>
          <w:tcPr>
            <w:tcW w:w="1276" w:type="dxa"/>
          </w:tcPr>
          <w:p>
            <w:pPr>
              <w:spacing w:line="560" w:lineRule="exact"/>
              <w:jc w:val="center"/>
              <w:rPr>
                <w:rFonts w:ascii="仿宋_GB2312" w:eastAsia="仿宋_GB2312"/>
                <w:color w:val="000000" w:themeColor="text1"/>
                <w:szCs w:val="21"/>
              </w:rPr>
            </w:pPr>
            <w:r>
              <w:rPr>
                <w:rFonts w:hint="eastAsia" w:ascii="仿宋_GB2312" w:eastAsia="仿宋_GB2312"/>
                <w:color w:val="000000" w:themeColor="text1"/>
                <w:szCs w:val="21"/>
              </w:rPr>
              <w:t>6</w:t>
            </w:r>
          </w:p>
        </w:tc>
        <w:tc>
          <w:tcPr>
            <w:tcW w:w="1134" w:type="dxa"/>
          </w:tcPr>
          <w:p>
            <w:pPr>
              <w:spacing w:line="560" w:lineRule="exact"/>
              <w:rPr>
                <w:rFonts w:ascii="仿宋_GB2312" w:eastAsia="仿宋_GB2312"/>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11" w:type="dxa"/>
            <w:vAlign w:val="center"/>
          </w:tcPr>
          <w:p>
            <w:pPr>
              <w:rPr>
                <w:rFonts w:ascii="仿宋_GB2312" w:eastAsia="仿宋_GB2312"/>
                <w:color w:val="000000" w:themeColor="text1"/>
                <w:szCs w:val="21"/>
              </w:rPr>
            </w:pPr>
            <w:r>
              <w:rPr>
                <w:rFonts w:hint="eastAsia" w:ascii="仿宋_GB2312" w:eastAsia="仿宋_GB2312"/>
                <w:b/>
                <w:color w:val="000000" w:themeColor="text1"/>
                <w:szCs w:val="21"/>
              </w:rPr>
              <w:t>15.教工党支部：</w:t>
            </w:r>
            <w:r>
              <w:rPr>
                <w:rFonts w:hint="eastAsia" w:ascii="仿宋_GB2312" w:eastAsia="仿宋_GB2312"/>
                <w:bCs/>
                <w:color w:val="000000" w:themeColor="text1"/>
                <w:szCs w:val="21"/>
              </w:rPr>
              <w:t>参与本单位重大问题决策，支持本单位行政负责人开展工作，对教职工职称评定、岗位（职员等级）晋升、考核评价等进行政治把关；加强师德师风建设，有针对性地做好思想政治工作。</w:t>
            </w:r>
            <w:r>
              <w:rPr>
                <w:rFonts w:hint="eastAsia" w:ascii="仿宋_GB2312" w:eastAsia="仿宋_GB2312"/>
                <w:color w:val="000000" w:themeColor="text1"/>
                <w:szCs w:val="21"/>
              </w:rPr>
              <w:t>重视教师党员发展工作安排，切实做好在</w:t>
            </w:r>
            <w:bookmarkStart w:id="0" w:name="_Hlk34160265"/>
            <w:r>
              <w:rPr>
                <w:rFonts w:hint="eastAsia" w:ascii="仿宋_GB2312" w:eastAsia="仿宋_GB2312"/>
                <w:color w:val="000000" w:themeColor="text1"/>
                <w:szCs w:val="21"/>
              </w:rPr>
              <w:t>各类高层次人才、学科带头人、青年学术骨干、海外留学归国人员</w:t>
            </w:r>
            <w:bookmarkEnd w:id="0"/>
            <w:r>
              <w:rPr>
                <w:rFonts w:hint="eastAsia" w:ascii="仿宋_GB2312" w:eastAsia="仿宋_GB2312"/>
                <w:color w:val="000000" w:themeColor="text1"/>
                <w:szCs w:val="21"/>
              </w:rPr>
              <w:t>中发展党员工作。教师党支部书记常态化联系教师入党积极分子，主动帮助引导他们向党组织靠拢。做好入党联系人配备工作，党员发展材料规范，经预审无差错。</w:t>
            </w:r>
          </w:p>
        </w:tc>
        <w:tc>
          <w:tcPr>
            <w:tcW w:w="1276" w:type="dxa"/>
            <w:vMerge w:val="restart"/>
          </w:tcPr>
          <w:p>
            <w:pPr>
              <w:spacing w:line="560" w:lineRule="exact"/>
              <w:jc w:val="center"/>
              <w:rPr>
                <w:rFonts w:ascii="仿宋_GB2312" w:eastAsia="仿宋_GB2312"/>
                <w:color w:val="000000" w:themeColor="text1"/>
                <w:szCs w:val="21"/>
              </w:rPr>
            </w:pPr>
            <w:r>
              <w:rPr>
                <w:rFonts w:hint="eastAsia" w:ascii="仿宋_GB2312" w:eastAsia="仿宋_GB2312"/>
                <w:color w:val="000000" w:themeColor="text1"/>
                <w:szCs w:val="21"/>
              </w:rPr>
              <w:t>8</w:t>
            </w:r>
          </w:p>
        </w:tc>
        <w:tc>
          <w:tcPr>
            <w:tcW w:w="1134" w:type="dxa"/>
            <w:vMerge w:val="restart"/>
          </w:tcPr>
          <w:p>
            <w:pPr>
              <w:spacing w:line="560" w:lineRule="exact"/>
              <w:rPr>
                <w:rFonts w:ascii="仿宋_GB2312" w:eastAsia="仿宋_GB2312"/>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11" w:type="dxa"/>
            <w:vAlign w:val="center"/>
          </w:tcPr>
          <w:p>
            <w:pPr>
              <w:rPr>
                <w:rFonts w:ascii="仿宋_GB2312" w:eastAsia="仿宋_GB2312"/>
                <w:color w:val="000000" w:themeColor="text1"/>
                <w:szCs w:val="21"/>
              </w:rPr>
            </w:pPr>
            <w:r>
              <w:rPr>
                <w:rFonts w:hint="eastAsia" w:ascii="仿宋_GB2312" w:eastAsia="仿宋_GB2312"/>
                <w:b/>
                <w:color w:val="000000" w:themeColor="text1"/>
                <w:szCs w:val="21"/>
              </w:rPr>
              <w:t>15.学生党支部：</w:t>
            </w:r>
            <w:r>
              <w:rPr>
                <w:rFonts w:hint="eastAsia" w:ascii="仿宋_GB2312" w:eastAsia="仿宋_GB2312"/>
                <w:bCs/>
                <w:color w:val="000000" w:themeColor="text1"/>
                <w:szCs w:val="21"/>
              </w:rPr>
              <w:t>组织学生党员参与学生事务管理，维护学校稳定。支持、指导和帮助团支部、班委会以及学生社团根据学生特点开展工作，充分发挥保留团籍的学生党员的带动作用。根据学生特点，有针对性地做好思想政治教育工作。</w:t>
            </w:r>
            <w:r>
              <w:rPr>
                <w:rFonts w:hint="eastAsia" w:ascii="仿宋_GB2312" w:eastAsia="仿宋_GB2312"/>
                <w:color w:val="000000" w:themeColor="text1"/>
                <w:szCs w:val="21"/>
              </w:rPr>
              <w:t>坚持把政治标准放在首位，严把党员发展质量关，做好发展党员工作，将“推荐优秀团员作为入党积极分子”作为重要渠道，重视发展少数民族学生入党。做好入党联系人配备工作，党员发展材料规范，经预审无差错。</w:t>
            </w:r>
          </w:p>
        </w:tc>
        <w:tc>
          <w:tcPr>
            <w:tcW w:w="1276" w:type="dxa"/>
            <w:vMerge w:val="continue"/>
          </w:tcPr>
          <w:p>
            <w:pPr>
              <w:spacing w:line="560" w:lineRule="exact"/>
              <w:jc w:val="center"/>
              <w:rPr>
                <w:rFonts w:ascii="仿宋_GB2312" w:eastAsia="仿宋_GB2312"/>
                <w:color w:val="000000" w:themeColor="text1"/>
                <w:szCs w:val="21"/>
              </w:rPr>
            </w:pPr>
          </w:p>
        </w:tc>
        <w:tc>
          <w:tcPr>
            <w:tcW w:w="1134" w:type="dxa"/>
            <w:vMerge w:val="continue"/>
          </w:tcPr>
          <w:p>
            <w:pPr>
              <w:spacing w:line="560" w:lineRule="exact"/>
              <w:rPr>
                <w:rFonts w:ascii="仿宋_GB2312" w:eastAsia="仿宋_GB2312"/>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11" w:type="dxa"/>
            <w:vAlign w:val="center"/>
          </w:tcPr>
          <w:p>
            <w:pPr>
              <w:rPr>
                <w:rFonts w:cs="仿宋_GB2312" w:asciiTheme="minorEastAsia" w:hAnsiTheme="minorEastAsia"/>
                <w:bCs/>
                <w:color w:val="000000" w:themeColor="text1"/>
                <w:szCs w:val="21"/>
              </w:rPr>
            </w:pPr>
            <w:r>
              <w:rPr>
                <w:rFonts w:hint="eastAsia" w:ascii="仿宋_GB2312" w:eastAsia="仿宋_GB2312"/>
                <w:color w:val="000000" w:themeColor="text1"/>
                <w:szCs w:val="21"/>
              </w:rPr>
              <w:t>16.党支部积极探索“党建+学科建设、教学科研、管理服务”等模式,大力推广“互联网+党建”等做法,推动党建工作与二级单位中心工作深度融合，党支部建设有特色，形成支部建设的创新项目和创新案例。</w:t>
            </w:r>
          </w:p>
        </w:tc>
        <w:tc>
          <w:tcPr>
            <w:tcW w:w="1276" w:type="dxa"/>
          </w:tcPr>
          <w:p>
            <w:pPr>
              <w:spacing w:line="560" w:lineRule="exact"/>
              <w:jc w:val="center"/>
              <w:rPr>
                <w:rFonts w:ascii="仿宋_GB2312" w:eastAsia="仿宋_GB2312"/>
                <w:color w:val="000000" w:themeColor="text1"/>
                <w:szCs w:val="21"/>
              </w:rPr>
            </w:pPr>
            <w:r>
              <w:rPr>
                <w:rFonts w:hint="eastAsia" w:ascii="仿宋_GB2312" w:eastAsia="仿宋_GB2312"/>
                <w:color w:val="000000" w:themeColor="text1"/>
                <w:szCs w:val="21"/>
              </w:rPr>
              <w:t>6</w:t>
            </w:r>
          </w:p>
        </w:tc>
        <w:tc>
          <w:tcPr>
            <w:tcW w:w="1134" w:type="dxa"/>
          </w:tcPr>
          <w:p>
            <w:pPr>
              <w:spacing w:line="560" w:lineRule="exact"/>
              <w:rPr>
                <w:rFonts w:ascii="仿宋_GB2312" w:eastAsia="仿宋_GB2312"/>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11" w:type="dxa"/>
            <w:vAlign w:val="center"/>
          </w:tcPr>
          <w:p>
            <w:pPr>
              <w:rPr>
                <w:rFonts w:cs="仿宋_GB2312" w:asciiTheme="minorEastAsia" w:hAnsiTheme="minorEastAsia"/>
                <w:bCs/>
                <w:color w:val="000000" w:themeColor="text1"/>
                <w:szCs w:val="21"/>
              </w:rPr>
            </w:pPr>
            <w:r>
              <w:rPr>
                <w:rFonts w:hint="eastAsia" w:ascii="仿宋_GB2312" w:eastAsia="仿宋_GB2312"/>
                <w:color w:val="000000" w:themeColor="text1"/>
                <w:szCs w:val="21"/>
              </w:rPr>
              <w:t>17.党支部教育、管理、监督党员有力，组织、宣传、凝聚、服务师生有力，团结凝聚、引领带动师生积极投身二级单位重大改革、重要事项、重点安排，党员作用发挥突出，充分发挥党的组织优势、组织功能、组织力量,推动学校事业发展。</w:t>
            </w:r>
          </w:p>
        </w:tc>
        <w:tc>
          <w:tcPr>
            <w:tcW w:w="1276" w:type="dxa"/>
          </w:tcPr>
          <w:p>
            <w:pPr>
              <w:spacing w:line="560" w:lineRule="exact"/>
              <w:jc w:val="center"/>
              <w:rPr>
                <w:rFonts w:ascii="仿宋_GB2312" w:eastAsia="仿宋_GB2312"/>
                <w:color w:val="000000" w:themeColor="text1"/>
                <w:szCs w:val="21"/>
              </w:rPr>
            </w:pPr>
            <w:r>
              <w:rPr>
                <w:rFonts w:hint="eastAsia" w:ascii="仿宋_GB2312" w:eastAsia="仿宋_GB2312"/>
                <w:color w:val="000000" w:themeColor="text1"/>
                <w:szCs w:val="21"/>
              </w:rPr>
              <w:t>5</w:t>
            </w:r>
          </w:p>
        </w:tc>
        <w:tc>
          <w:tcPr>
            <w:tcW w:w="1134" w:type="dxa"/>
          </w:tcPr>
          <w:p>
            <w:pPr>
              <w:spacing w:line="560" w:lineRule="exact"/>
              <w:rPr>
                <w:rFonts w:ascii="仿宋_GB2312" w:eastAsia="仿宋_GB2312"/>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11" w:type="dxa"/>
            <w:vAlign w:val="center"/>
          </w:tcPr>
          <w:p>
            <w:pPr>
              <w:rPr>
                <w:rFonts w:cs="仿宋_GB2312" w:asciiTheme="minorEastAsia" w:hAnsiTheme="minorEastAsia"/>
                <w:bCs/>
                <w:color w:val="000000" w:themeColor="text1"/>
                <w:szCs w:val="21"/>
              </w:rPr>
            </w:pPr>
            <w:r>
              <w:rPr>
                <w:rFonts w:hint="eastAsia" w:ascii="仿宋_GB2312" w:eastAsia="仿宋_GB2312"/>
                <w:color w:val="000000" w:themeColor="text1"/>
                <w:szCs w:val="21"/>
              </w:rPr>
              <w:t>18.党支部工作手册“三会一课”和主题党日记录及时、内容完整、无不当内容，基本信息填写正确、及时更新，工作计划、党员转入转出情况、入党积极分子和发展对象情况相关表格记录规范。</w:t>
            </w:r>
          </w:p>
        </w:tc>
        <w:tc>
          <w:tcPr>
            <w:tcW w:w="1276" w:type="dxa"/>
          </w:tcPr>
          <w:p>
            <w:pPr>
              <w:spacing w:line="560" w:lineRule="exact"/>
              <w:jc w:val="center"/>
              <w:rPr>
                <w:rFonts w:ascii="仿宋_GB2312" w:eastAsia="仿宋_GB2312"/>
                <w:color w:val="000000" w:themeColor="text1"/>
                <w:szCs w:val="21"/>
              </w:rPr>
            </w:pPr>
            <w:r>
              <w:rPr>
                <w:rFonts w:hint="eastAsia" w:ascii="仿宋_GB2312" w:eastAsia="仿宋_GB2312"/>
                <w:color w:val="000000" w:themeColor="text1"/>
                <w:szCs w:val="21"/>
              </w:rPr>
              <w:t>5</w:t>
            </w:r>
          </w:p>
        </w:tc>
        <w:tc>
          <w:tcPr>
            <w:tcW w:w="1134" w:type="dxa"/>
          </w:tcPr>
          <w:p>
            <w:pPr>
              <w:spacing w:line="560" w:lineRule="exact"/>
              <w:rPr>
                <w:rFonts w:ascii="仿宋_GB2312" w:eastAsia="仿宋_GB2312"/>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11" w:type="dxa"/>
            <w:vAlign w:val="center"/>
          </w:tcPr>
          <w:p>
            <w:pPr>
              <w:rPr>
                <w:rFonts w:ascii="仿宋_GB2312" w:eastAsia="仿宋_GB2312"/>
                <w:color w:val="000000" w:themeColor="text1"/>
                <w:szCs w:val="21"/>
              </w:rPr>
            </w:pPr>
            <w:r>
              <w:rPr>
                <w:rFonts w:hint="eastAsia" w:ascii="仿宋_GB2312" w:eastAsia="仿宋_GB2312"/>
                <w:color w:val="000000" w:themeColor="text1"/>
                <w:szCs w:val="21"/>
              </w:rPr>
              <w:t>19.严明党的政治纪律、组织纪律和工作纪律，及时传达上级党组织的通知、部署和要求，执行上级党组织的命令，党支部重大工作请示报告程序规范、内容严谨。</w:t>
            </w:r>
          </w:p>
        </w:tc>
        <w:tc>
          <w:tcPr>
            <w:tcW w:w="1276" w:type="dxa"/>
          </w:tcPr>
          <w:p>
            <w:pPr>
              <w:spacing w:line="560" w:lineRule="exact"/>
              <w:jc w:val="center"/>
              <w:rPr>
                <w:rFonts w:ascii="仿宋_GB2312" w:eastAsia="仿宋_GB2312"/>
                <w:color w:val="000000" w:themeColor="text1"/>
                <w:szCs w:val="21"/>
              </w:rPr>
            </w:pPr>
            <w:r>
              <w:rPr>
                <w:rFonts w:hint="eastAsia" w:ascii="仿宋_GB2312" w:eastAsia="仿宋_GB2312"/>
                <w:color w:val="000000" w:themeColor="text1"/>
                <w:szCs w:val="21"/>
              </w:rPr>
              <w:t>5</w:t>
            </w:r>
          </w:p>
        </w:tc>
        <w:tc>
          <w:tcPr>
            <w:tcW w:w="1134" w:type="dxa"/>
          </w:tcPr>
          <w:p>
            <w:pPr>
              <w:spacing w:line="560" w:lineRule="exact"/>
              <w:rPr>
                <w:rFonts w:ascii="仿宋_GB2312" w:eastAsia="仿宋_GB2312"/>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11" w:type="dxa"/>
            <w:vAlign w:val="center"/>
          </w:tcPr>
          <w:p>
            <w:pPr>
              <w:rPr>
                <w:rFonts w:ascii="仿宋_GB2312" w:eastAsia="仿宋_GB2312"/>
                <w:szCs w:val="21"/>
              </w:rPr>
            </w:pPr>
            <w:r>
              <w:rPr>
                <w:rFonts w:hint="eastAsia" w:ascii="仿宋_GB2312" w:eastAsia="仿宋_GB2312"/>
                <w:szCs w:val="21"/>
              </w:rPr>
              <w:t>20.严格按照基层党支部基层党建工作档案归档范围整理党支部归档材料，严格按照统一的规范和职责要求，严谨细致地做好材料收集归档工作。</w:t>
            </w:r>
          </w:p>
        </w:tc>
        <w:tc>
          <w:tcPr>
            <w:tcW w:w="1276" w:type="dxa"/>
          </w:tcPr>
          <w:p>
            <w:pPr>
              <w:spacing w:line="560" w:lineRule="exact"/>
              <w:jc w:val="center"/>
              <w:rPr>
                <w:rFonts w:ascii="仿宋_GB2312" w:eastAsia="仿宋_GB2312"/>
                <w:szCs w:val="21"/>
              </w:rPr>
            </w:pPr>
            <w:r>
              <w:rPr>
                <w:rFonts w:hint="eastAsia" w:ascii="仿宋_GB2312" w:eastAsia="仿宋_GB2312"/>
                <w:szCs w:val="21"/>
              </w:rPr>
              <w:t>5</w:t>
            </w:r>
          </w:p>
        </w:tc>
        <w:tc>
          <w:tcPr>
            <w:tcW w:w="1134" w:type="dxa"/>
          </w:tcPr>
          <w:p>
            <w:pPr>
              <w:spacing w:line="560" w:lineRule="exact"/>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11" w:type="dxa"/>
            <w:vAlign w:val="center"/>
          </w:tcPr>
          <w:p>
            <w:pPr>
              <w:jc w:val="center"/>
              <w:rPr>
                <w:rFonts w:ascii="仿宋_GB2312" w:eastAsia="仿宋_GB2312"/>
                <w:b/>
                <w:szCs w:val="21"/>
              </w:rPr>
            </w:pPr>
            <w:r>
              <w:rPr>
                <w:rFonts w:hint="eastAsia" w:ascii="仿宋_GB2312" w:eastAsia="仿宋_GB2312"/>
                <w:b/>
                <w:szCs w:val="21"/>
              </w:rPr>
              <w:t>汇 总</w:t>
            </w:r>
          </w:p>
        </w:tc>
        <w:tc>
          <w:tcPr>
            <w:tcW w:w="1276" w:type="dxa"/>
          </w:tcPr>
          <w:p>
            <w:pPr>
              <w:spacing w:line="560" w:lineRule="exact"/>
              <w:jc w:val="center"/>
              <w:rPr>
                <w:rFonts w:ascii="仿宋_GB2312" w:eastAsia="仿宋_GB2312"/>
                <w:szCs w:val="21"/>
              </w:rPr>
            </w:pPr>
            <w:r>
              <w:rPr>
                <w:rFonts w:ascii="仿宋_GB2312" w:eastAsia="仿宋_GB2312"/>
                <w:szCs w:val="21"/>
              </w:rPr>
              <w:t>100</w:t>
            </w:r>
          </w:p>
        </w:tc>
        <w:tc>
          <w:tcPr>
            <w:tcW w:w="1134" w:type="dxa"/>
          </w:tcPr>
          <w:p>
            <w:pPr>
              <w:spacing w:line="560" w:lineRule="exact"/>
              <w:rPr>
                <w:rFonts w:ascii="仿宋_GB2312" w:eastAsia="仿宋_GB2312"/>
                <w:szCs w:val="21"/>
              </w:rPr>
            </w:pPr>
          </w:p>
        </w:tc>
      </w:tr>
    </w:tbl>
    <w:p>
      <w:pPr>
        <w:spacing w:line="560" w:lineRule="exact"/>
        <w:jc w:val="left"/>
        <w:rPr>
          <w:rFonts w:ascii="仿宋_GB2312" w:eastAsia="仿宋_GB2312"/>
          <w:sz w:val="32"/>
          <w:szCs w:val="32"/>
        </w:rPr>
      </w:pPr>
    </w:p>
    <w:p>
      <w:pPr>
        <w:spacing w:line="560" w:lineRule="exact"/>
        <w:jc w:val="left"/>
        <w:rPr>
          <w:rFonts w:ascii="仿宋_GB2312" w:eastAsia="仿宋_GB2312"/>
          <w:sz w:val="32"/>
          <w:szCs w:val="32"/>
        </w:rPr>
      </w:pPr>
      <w:r>
        <w:rPr>
          <w:rFonts w:hint="eastAsia" w:ascii="仿宋_GB2312" w:eastAsia="仿宋_GB2312"/>
          <w:sz w:val="32"/>
          <w:szCs w:val="32"/>
        </w:rPr>
        <w:t>附件3</w:t>
      </w:r>
    </w:p>
    <w:p>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上海电力大学二级党组织下属党支部问题清单和整改措施清单</w:t>
      </w:r>
    </w:p>
    <w:p>
      <w:pPr>
        <w:spacing w:line="560" w:lineRule="exact"/>
        <w:jc w:val="left"/>
        <w:rPr>
          <w:rFonts w:ascii="仿宋_GB2312" w:eastAsia="仿宋_GB2312"/>
          <w:sz w:val="24"/>
          <w:szCs w:val="24"/>
        </w:rPr>
      </w:pPr>
      <w:r>
        <w:rPr>
          <w:rFonts w:hint="eastAsia" w:ascii="仿宋_GB2312" w:eastAsia="仿宋_GB2312"/>
          <w:sz w:val="24"/>
          <w:szCs w:val="24"/>
        </w:rPr>
        <w:t>二级党组织名称：</w:t>
      </w:r>
    </w:p>
    <w:tbl>
      <w:tblPr>
        <w:tblStyle w:val="13"/>
        <w:tblW w:w="15310"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552"/>
        <w:gridCol w:w="4111"/>
        <w:gridCol w:w="7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09" w:type="dxa"/>
          </w:tcPr>
          <w:p>
            <w:pPr>
              <w:spacing w:line="560" w:lineRule="exact"/>
              <w:jc w:val="center"/>
              <w:rPr>
                <w:rFonts w:ascii="仿宋_GB2312" w:eastAsia="仿宋_GB2312"/>
                <w:b/>
                <w:sz w:val="24"/>
                <w:szCs w:val="24"/>
              </w:rPr>
            </w:pPr>
            <w:r>
              <w:rPr>
                <w:rFonts w:hint="eastAsia" w:ascii="仿宋_GB2312" w:eastAsia="仿宋_GB2312"/>
                <w:b/>
                <w:sz w:val="24"/>
                <w:szCs w:val="24"/>
              </w:rPr>
              <w:t>序号</w:t>
            </w:r>
          </w:p>
        </w:tc>
        <w:tc>
          <w:tcPr>
            <w:tcW w:w="2552" w:type="dxa"/>
          </w:tcPr>
          <w:p>
            <w:pPr>
              <w:spacing w:line="560" w:lineRule="exact"/>
              <w:jc w:val="center"/>
              <w:rPr>
                <w:rFonts w:ascii="仿宋_GB2312" w:eastAsia="仿宋_GB2312"/>
                <w:b/>
                <w:sz w:val="24"/>
                <w:szCs w:val="24"/>
              </w:rPr>
            </w:pPr>
            <w:r>
              <w:rPr>
                <w:rFonts w:hint="eastAsia" w:ascii="仿宋_GB2312" w:eastAsia="仿宋_GB2312"/>
                <w:b/>
                <w:sz w:val="24"/>
                <w:szCs w:val="24"/>
              </w:rPr>
              <w:t>党支部名称</w:t>
            </w:r>
          </w:p>
        </w:tc>
        <w:tc>
          <w:tcPr>
            <w:tcW w:w="4111" w:type="dxa"/>
          </w:tcPr>
          <w:p>
            <w:pPr>
              <w:spacing w:line="560" w:lineRule="exact"/>
              <w:jc w:val="center"/>
              <w:rPr>
                <w:rFonts w:ascii="仿宋_GB2312" w:eastAsia="仿宋_GB2312"/>
                <w:b/>
                <w:sz w:val="24"/>
                <w:szCs w:val="24"/>
              </w:rPr>
            </w:pPr>
            <w:r>
              <w:rPr>
                <w:rFonts w:hint="eastAsia" w:ascii="仿宋_GB2312" w:eastAsia="仿宋_GB2312"/>
                <w:b/>
                <w:sz w:val="24"/>
                <w:szCs w:val="24"/>
              </w:rPr>
              <w:t>问题清单</w:t>
            </w:r>
          </w:p>
        </w:tc>
        <w:tc>
          <w:tcPr>
            <w:tcW w:w="7938" w:type="dxa"/>
          </w:tcPr>
          <w:p>
            <w:pPr>
              <w:spacing w:line="560" w:lineRule="exact"/>
              <w:jc w:val="center"/>
              <w:rPr>
                <w:rFonts w:ascii="仿宋_GB2312" w:eastAsia="仿宋_GB2312"/>
                <w:b/>
                <w:sz w:val="24"/>
                <w:szCs w:val="24"/>
              </w:rPr>
            </w:pPr>
            <w:r>
              <w:rPr>
                <w:rFonts w:hint="eastAsia" w:ascii="仿宋_GB2312" w:eastAsia="仿宋_GB2312"/>
                <w:b/>
                <w:sz w:val="24"/>
                <w:szCs w:val="24"/>
              </w:rPr>
              <w:t>整改措施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709" w:type="dxa"/>
            <w:vMerge w:val="restart"/>
          </w:tcPr>
          <w:p>
            <w:pPr>
              <w:snapToGrid w:val="0"/>
              <w:jc w:val="center"/>
              <w:rPr>
                <w:rFonts w:ascii="仿宋_GB2312" w:eastAsia="仿宋_GB2312"/>
                <w:sz w:val="24"/>
                <w:szCs w:val="24"/>
              </w:rPr>
            </w:pPr>
          </w:p>
        </w:tc>
        <w:tc>
          <w:tcPr>
            <w:tcW w:w="2552" w:type="dxa"/>
            <w:vMerge w:val="restart"/>
          </w:tcPr>
          <w:p>
            <w:pPr>
              <w:snapToGrid w:val="0"/>
              <w:jc w:val="center"/>
              <w:rPr>
                <w:rFonts w:ascii="仿宋_GB2312" w:eastAsia="仿宋_GB2312"/>
                <w:sz w:val="24"/>
                <w:szCs w:val="24"/>
              </w:rPr>
            </w:pPr>
          </w:p>
        </w:tc>
        <w:tc>
          <w:tcPr>
            <w:tcW w:w="4111" w:type="dxa"/>
            <w:vMerge w:val="restart"/>
          </w:tcPr>
          <w:p>
            <w:pPr>
              <w:snapToGrid w:val="0"/>
              <w:jc w:val="left"/>
              <w:rPr>
                <w:rFonts w:ascii="仿宋_GB2312" w:eastAsia="仿宋_GB2312"/>
                <w:sz w:val="24"/>
                <w:szCs w:val="24"/>
              </w:rPr>
            </w:pPr>
          </w:p>
        </w:tc>
        <w:tc>
          <w:tcPr>
            <w:tcW w:w="7938" w:type="dxa"/>
          </w:tcPr>
          <w:p>
            <w:pPr>
              <w:snapToGrid w:val="0"/>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Pr>
          <w:p>
            <w:pPr>
              <w:snapToGrid w:val="0"/>
              <w:jc w:val="center"/>
              <w:rPr>
                <w:rFonts w:ascii="仿宋_GB2312" w:eastAsia="仿宋_GB2312"/>
                <w:sz w:val="24"/>
                <w:szCs w:val="24"/>
              </w:rPr>
            </w:pPr>
          </w:p>
        </w:tc>
        <w:tc>
          <w:tcPr>
            <w:tcW w:w="2552" w:type="dxa"/>
            <w:vMerge w:val="continue"/>
          </w:tcPr>
          <w:p>
            <w:pPr>
              <w:snapToGrid w:val="0"/>
              <w:jc w:val="center"/>
              <w:rPr>
                <w:rFonts w:ascii="仿宋_GB2312" w:eastAsia="仿宋_GB2312"/>
                <w:sz w:val="24"/>
                <w:szCs w:val="24"/>
              </w:rPr>
            </w:pPr>
          </w:p>
        </w:tc>
        <w:tc>
          <w:tcPr>
            <w:tcW w:w="4111" w:type="dxa"/>
            <w:vMerge w:val="continue"/>
          </w:tcPr>
          <w:p>
            <w:pPr>
              <w:snapToGrid w:val="0"/>
              <w:jc w:val="center"/>
              <w:rPr>
                <w:rFonts w:ascii="仿宋_GB2312" w:eastAsia="仿宋_GB2312"/>
                <w:sz w:val="24"/>
                <w:szCs w:val="24"/>
              </w:rPr>
            </w:pPr>
          </w:p>
        </w:tc>
        <w:tc>
          <w:tcPr>
            <w:tcW w:w="7938" w:type="dxa"/>
          </w:tcPr>
          <w:p>
            <w:pPr>
              <w:snapToGrid w:val="0"/>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Pr>
          <w:p>
            <w:pPr>
              <w:snapToGrid w:val="0"/>
              <w:jc w:val="center"/>
              <w:rPr>
                <w:rFonts w:ascii="仿宋_GB2312" w:eastAsia="仿宋_GB2312"/>
                <w:sz w:val="24"/>
                <w:szCs w:val="24"/>
              </w:rPr>
            </w:pPr>
          </w:p>
        </w:tc>
        <w:tc>
          <w:tcPr>
            <w:tcW w:w="2552" w:type="dxa"/>
            <w:vMerge w:val="continue"/>
          </w:tcPr>
          <w:p>
            <w:pPr>
              <w:snapToGrid w:val="0"/>
              <w:jc w:val="center"/>
              <w:rPr>
                <w:rFonts w:ascii="仿宋_GB2312" w:eastAsia="仿宋_GB2312"/>
                <w:sz w:val="24"/>
                <w:szCs w:val="24"/>
              </w:rPr>
            </w:pPr>
          </w:p>
        </w:tc>
        <w:tc>
          <w:tcPr>
            <w:tcW w:w="4111" w:type="dxa"/>
            <w:vMerge w:val="continue"/>
          </w:tcPr>
          <w:p>
            <w:pPr>
              <w:snapToGrid w:val="0"/>
              <w:jc w:val="center"/>
              <w:rPr>
                <w:rFonts w:ascii="仿宋_GB2312" w:eastAsia="仿宋_GB2312"/>
                <w:sz w:val="24"/>
                <w:szCs w:val="24"/>
              </w:rPr>
            </w:pPr>
          </w:p>
        </w:tc>
        <w:tc>
          <w:tcPr>
            <w:tcW w:w="7938" w:type="dxa"/>
          </w:tcPr>
          <w:p>
            <w:pPr>
              <w:snapToGrid w:val="0"/>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Pr>
          <w:p>
            <w:pPr>
              <w:snapToGrid w:val="0"/>
              <w:jc w:val="center"/>
              <w:rPr>
                <w:rFonts w:ascii="仿宋_GB2312" w:eastAsia="仿宋_GB2312"/>
                <w:sz w:val="24"/>
                <w:szCs w:val="24"/>
              </w:rPr>
            </w:pPr>
          </w:p>
        </w:tc>
        <w:tc>
          <w:tcPr>
            <w:tcW w:w="2552" w:type="dxa"/>
            <w:vMerge w:val="continue"/>
          </w:tcPr>
          <w:p>
            <w:pPr>
              <w:snapToGrid w:val="0"/>
              <w:jc w:val="center"/>
              <w:rPr>
                <w:rFonts w:ascii="仿宋_GB2312" w:eastAsia="仿宋_GB2312"/>
                <w:sz w:val="24"/>
                <w:szCs w:val="24"/>
              </w:rPr>
            </w:pPr>
          </w:p>
        </w:tc>
        <w:tc>
          <w:tcPr>
            <w:tcW w:w="4111" w:type="dxa"/>
            <w:vMerge w:val="restart"/>
          </w:tcPr>
          <w:p>
            <w:pPr>
              <w:snapToGrid w:val="0"/>
              <w:jc w:val="left"/>
              <w:rPr>
                <w:rFonts w:ascii="仿宋_GB2312" w:eastAsia="仿宋_GB2312"/>
                <w:sz w:val="24"/>
                <w:szCs w:val="24"/>
              </w:rPr>
            </w:pPr>
          </w:p>
        </w:tc>
        <w:tc>
          <w:tcPr>
            <w:tcW w:w="7938" w:type="dxa"/>
          </w:tcPr>
          <w:p>
            <w:pPr>
              <w:snapToGrid w:val="0"/>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Pr>
          <w:p>
            <w:pPr>
              <w:snapToGrid w:val="0"/>
              <w:jc w:val="center"/>
              <w:rPr>
                <w:rFonts w:ascii="仿宋_GB2312" w:eastAsia="仿宋_GB2312"/>
                <w:sz w:val="24"/>
                <w:szCs w:val="24"/>
              </w:rPr>
            </w:pPr>
          </w:p>
        </w:tc>
        <w:tc>
          <w:tcPr>
            <w:tcW w:w="2552" w:type="dxa"/>
            <w:vMerge w:val="continue"/>
          </w:tcPr>
          <w:p>
            <w:pPr>
              <w:snapToGrid w:val="0"/>
              <w:jc w:val="center"/>
              <w:rPr>
                <w:rFonts w:ascii="仿宋_GB2312" w:eastAsia="仿宋_GB2312"/>
                <w:sz w:val="24"/>
                <w:szCs w:val="24"/>
              </w:rPr>
            </w:pPr>
          </w:p>
        </w:tc>
        <w:tc>
          <w:tcPr>
            <w:tcW w:w="4111" w:type="dxa"/>
            <w:vMerge w:val="continue"/>
          </w:tcPr>
          <w:p>
            <w:pPr>
              <w:snapToGrid w:val="0"/>
              <w:jc w:val="center"/>
              <w:rPr>
                <w:rFonts w:ascii="仿宋_GB2312" w:eastAsia="仿宋_GB2312"/>
                <w:sz w:val="24"/>
                <w:szCs w:val="24"/>
              </w:rPr>
            </w:pPr>
          </w:p>
        </w:tc>
        <w:tc>
          <w:tcPr>
            <w:tcW w:w="7938" w:type="dxa"/>
          </w:tcPr>
          <w:p>
            <w:pPr>
              <w:snapToGrid w:val="0"/>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Pr>
          <w:p>
            <w:pPr>
              <w:snapToGrid w:val="0"/>
              <w:rPr>
                <w:rFonts w:ascii="仿宋_GB2312" w:eastAsia="仿宋_GB2312"/>
                <w:sz w:val="24"/>
                <w:szCs w:val="24"/>
              </w:rPr>
            </w:pPr>
          </w:p>
        </w:tc>
        <w:tc>
          <w:tcPr>
            <w:tcW w:w="2552" w:type="dxa"/>
            <w:vMerge w:val="continue"/>
          </w:tcPr>
          <w:p>
            <w:pPr>
              <w:snapToGrid w:val="0"/>
              <w:jc w:val="center"/>
              <w:rPr>
                <w:rFonts w:ascii="仿宋_GB2312" w:eastAsia="仿宋_GB2312"/>
                <w:sz w:val="24"/>
                <w:szCs w:val="24"/>
              </w:rPr>
            </w:pPr>
          </w:p>
        </w:tc>
        <w:tc>
          <w:tcPr>
            <w:tcW w:w="4111" w:type="dxa"/>
            <w:vMerge w:val="continue"/>
          </w:tcPr>
          <w:p>
            <w:pPr>
              <w:snapToGrid w:val="0"/>
              <w:jc w:val="center"/>
              <w:rPr>
                <w:rFonts w:ascii="仿宋_GB2312" w:eastAsia="仿宋_GB2312"/>
                <w:sz w:val="24"/>
                <w:szCs w:val="24"/>
              </w:rPr>
            </w:pPr>
          </w:p>
        </w:tc>
        <w:tc>
          <w:tcPr>
            <w:tcW w:w="7938" w:type="dxa"/>
          </w:tcPr>
          <w:p>
            <w:pPr>
              <w:snapToGrid w:val="0"/>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tcPr>
          <w:p>
            <w:pPr>
              <w:snapToGrid w:val="0"/>
              <w:rPr>
                <w:rFonts w:ascii="仿宋_GB2312" w:eastAsia="仿宋_GB2312"/>
                <w:sz w:val="24"/>
                <w:szCs w:val="24"/>
              </w:rPr>
            </w:pPr>
          </w:p>
        </w:tc>
        <w:tc>
          <w:tcPr>
            <w:tcW w:w="2552" w:type="dxa"/>
            <w:vMerge w:val="restart"/>
          </w:tcPr>
          <w:p>
            <w:pPr>
              <w:snapToGrid w:val="0"/>
              <w:jc w:val="center"/>
              <w:rPr>
                <w:rFonts w:ascii="仿宋_GB2312" w:eastAsia="仿宋_GB2312"/>
                <w:sz w:val="24"/>
                <w:szCs w:val="24"/>
              </w:rPr>
            </w:pPr>
          </w:p>
        </w:tc>
        <w:tc>
          <w:tcPr>
            <w:tcW w:w="4111" w:type="dxa"/>
            <w:vMerge w:val="restart"/>
          </w:tcPr>
          <w:p>
            <w:pPr>
              <w:snapToGrid w:val="0"/>
              <w:jc w:val="left"/>
              <w:rPr>
                <w:rFonts w:ascii="仿宋_GB2312" w:eastAsia="仿宋_GB2312"/>
                <w:sz w:val="24"/>
                <w:szCs w:val="24"/>
              </w:rPr>
            </w:pPr>
          </w:p>
        </w:tc>
        <w:tc>
          <w:tcPr>
            <w:tcW w:w="7938" w:type="dxa"/>
          </w:tcPr>
          <w:p>
            <w:pPr>
              <w:snapToGrid w:val="0"/>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Pr>
          <w:p>
            <w:pPr>
              <w:snapToGrid w:val="0"/>
              <w:rPr>
                <w:rFonts w:ascii="仿宋_GB2312" w:eastAsia="仿宋_GB2312"/>
                <w:sz w:val="24"/>
                <w:szCs w:val="24"/>
              </w:rPr>
            </w:pPr>
          </w:p>
        </w:tc>
        <w:tc>
          <w:tcPr>
            <w:tcW w:w="2552" w:type="dxa"/>
            <w:vMerge w:val="continue"/>
          </w:tcPr>
          <w:p>
            <w:pPr>
              <w:snapToGrid w:val="0"/>
              <w:jc w:val="center"/>
              <w:rPr>
                <w:rFonts w:ascii="仿宋_GB2312" w:eastAsia="仿宋_GB2312"/>
                <w:sz w:val="24"/>
                <w:szCs w:val="24"/>
              </w:rPr>
            </w:pPr>
          </w:p>
        </w:tc>
        <w:tc>
          <w:tcPr>
            <w:tcW w:w="4111" w:type="dxa"/>
            <w:vMerge w:val="continue"/>
          </w:tcPr>
          <w:p>
            <w:pPr>
              <w:snapToGrid w:val="0"/>
              <w:jc w:val="left"/>
              <w:rPr>
                <w:rFonts w:ascii="仿宋_GB2312" w:eastAsia="仿宋_GB2312"/>
                <w:sz w:val="24"/>
                <w:szCs w:val="24"/>
              </w:rPr>
            </w:pPr>
          </w:p>
        </w:tc>
        <w:tc>
          <w:tcPr>
            <w:tcW w:w="7938" w:type="dxa"/>
          </w:tcPr>
          <w:p>
            <w:pPr>
              <w:snapToGrid w:val="0"/>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Pr>
          <w:p>
            <w:pPr>
              <w:snapToGrid w:val="0"/>
              <w:rPr>
                <w:rFonts w:ascii="仿宋_GB2312" w:eastAsia="仿宋_GB2312"/>
                <w:sz w:val="24"/>
                <w:szCs w:val="24"/>
              </w:rPr>
            </w:pPr>
          </w:p>
        </w:tc>
        <w:tc>
          <w:tcPr>
            <w:tcW w:w="2552" w:type="dxa"/>
            <w:vMerge w:val="continue"/>
          </w:tcPr>
          <w:p>
            <w:pPr>
              <w:snapToGrid w:val="0"/>
              <w:jc w:val="center"/>
              <w:rPr>
                <w:rFonts w:ascii="仿宋_GB2312" w:eastAsia="仿宋_GB2312"/>
                <w:sz w:val="24"/>
                <w:szCs w:val="24"/>
              </w:rPr>
            </w:pPr>
          </w:p>
        </w:tc>
        <w:tc>
          <w:tcPr>
            <w:tcW w:w="4111" w:type="dxa"/>
            <w:vMerge w:val="continue"/>
          </w:tcPr>
          <w:p>
            <w:pPr>
              <w:snapToGrid w:val="0"/>
              <w:jc w:val="left"/>
              <w:rPr>
                <w:rFonts w:ascii="仿宋_GB2312" w:eastAsia="仿宋_GB2312"/>
                <w:sz w:val="24"/>
                <w:szCs w:val="24"/>
              </w:rPr>
            </w:pPr>
          </w:p>
        </w:tc>
        <w:tc>
          <w:tcPr>
            <w:tcW w:w="7938" w:type="dxa"/>
          </w:tcPr>
          <w:p>
            <w:pPr>
              <w:snapToGrid w:val="0"/>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Pr>
          <w:p>
            <w:pPr>
              <w:snapToGrid w:val="0"/>
              <w:rPr>
                <w:rFonts w:ascii="仿宋_GB2312" w:eastAsia="仿宋_GB2312"/>
                <w:sz w:val="24"/>
                <w:szCs w:val="24"/>
              </w:rPr>
            </w:pPr>
          </w:p>
        </w:tc>
        <w:tc>
          <w:tcPr>
            <w:tcW w:w="2552" w:type="dxa"/>
            <w:vMerge w:val="continue"/>
          </w:tcPr>
          <w:p>
            <w:pPr>
              <w:snapToGrid w:val="0"/>
              <w:jc w:val="center"/>
              <w:rPr>
                <w:rFonts w:ascii="仿宋_GB2312" w:eastAsia="仿宋_GB2312"/>
                <w:sz w:val="24"/>
                <w:szCs w:val="24"/>
              </w:rPr>
            </w:pPr>
          </w:p>
        </w:tc>
        <w:tc>
          <w:tcPr>
            <w:tcW w:w="4111" w:type="dxa"/>
            <w:vMerge w:val="restart"/>
          </w:tcPr>
          <w:p>
            <w:pPr>
              <w:snapToGrid w:val="0"/>
              <w:jc w:val="left"/>
              <w:rPr>
                <w:rFonts w:ascii="仿宋_GB2312" w:eastAsia="仿宋_GB2312"/>
                <w:sz w:val="24"/>
                <w:szCs w:val="24"/>
              </w:rPr>
            </w:pPr>
          </w:p>
        </w:tc>
        <w:tc>
          <w:tcPr>
            <w:tcW w:w="7938" w:type="dxa"/>
          </w:tcPr>
          <w:p>
            <w:pPr>
              <w:snapToGrid w:val="0"/>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Pr>
          <w:p>
            <w:pPr>
              <w:snapToGrid w:val="0"/>
              <w:rPr>
                <w:rFonts w:ascii="仿宋_GB2312" w:eastAsia="仿宋_GB2312"/>
                <w:sz w:val="24"/>
                <w:szCs w:val="24"/>
              </w:rPr>
            </w:pPr>
          </w:p>
        </w:tc>
        <w:tc>
          <w:tcPr>
            <w:tcW w:w="2552" w:type="dxa"/>
            <w:vMerge w:val="continue"/>
          </w:tcPr>
          <w:p>
            <w:pPr>
              <w:snapToGrid w:val="0"/>
              <w:jc w:val="center"/>
              <w:rPr>
                <w:rFonts w:ascii="仿宋_GB2312" w:eastAsia="仿宋_GB2312"/>
                <w:sz w:val="24"/>
                <w:szCs w:val="24"/>
              </w:rPr>
            </w:pPr>
          </w:p>
        </w:tc>
        <w:tc>
          <w:tcPr>
            <w:tcW w:w="4111" w:type="dxa"/>
            <w:vMerge w:val="continue"/>
          </w:tcPr>
          <w:p>
            <w:pPr>
              <w:snapToGrid w:val="0"/>
              <w:jc w:val="left"/>
              <w:rPr>
                <w:rFonts w:ascii="仿宋_GB2312" w:eastAsia="仿宋_GB2312"/>
                <w:sz w:val="24"/>
                <w:szCs w:val="24"/>
              </w:rPr>
            </w:pPr>
          </w:p>
        </w:tc>
        <w:tc>
          <w:tcPr>
            <w:tcW w:w="7938" w:type="dxa"/>
          </w:tcPr>
          <w:p>
            <w:pPr>
              <w:snapToGrid w:val="0"/>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Pr>
          <w:p>
            <w:pPr>
              <w:snapToGrid w:val="0"/>
              <w:rPr>
                <w:rFonts w:ascii="仿宋_GB2312" w:eastAsia="仿宋_GB2312"/>
                <w:sz w:val="24"/>
                <w:szCs w:val="24"/>
              </w:rPr>
            </w:pPr>
          </w:p>
        </w:tc>
        <w:tc>
          <w:tcPr>
            <w:tcW w:w="2552" w:type="dxa"/>
            <w:vMerge w:val="continue"/>
          </w:tcPr>
          <w:p>
            <w:pPr>
              <w:snapToGrid w:val="0"/>
              <w:jc w:val="center"/>
              <w:rPr>
                <w:rFonts w:ascii="仿宋_GB2312" w:eastAsia="仿宋_GB2312"/>
                <w:sz w:val="24"/>
                <w:szCs w:val="24"/>
              </w:rPr>
            </w:pPr>
          </w:p>
        </w:tc>
        <w:tc>
          <w:tcPr>
            <w:tcW w:w="4111" w:type="dxa"/>
            <w:vMerge w:val="continue"/>
          </w:tcPr>
          <w:p>
            <w:pPr>
              <w:snapToGrid w:val="0"/>
              <w:jc w:val="left"/>
              <w:rPr>
                <w:rFonts w:ascii="仿宋_GB2312" w:eastAsia="仿宋_GB2312"/>
                <w:sz w:val="24"/>
                <w:szCs w:val="24"/>
              </w:rPr>
            </w:pPr>
          </w:p>
        </w:tc>
        <w:tc>
          <w:tcPr>
            <w:tcW w:w="7938" w:type="dxa"/>
          </w:tcPr>
          <w:p>
            <w:pPr>
              <w:snapToGrid w:val="0"/>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tcPr>
          <w:p>
            <w:pPr>
              <w:snapToGrid w:val="0"/>
              <w:rPr>
                <w:rFonts w:ascii="仿宋_GB2312" w:eastAsia="仿宋_GB2312"/>
                <w:sz w:val="24"/>
                <w:szCs w:val="24"/>
              </w:rPr>
            </w:pPr>
          </w:p>
        </w:tc>
        <w:tc>
          <w:tcPr>
            <w:tcW w:w="2552" w:type="dxa"/>
            <w:vMerge w:val="restart"/>
          </w:tcPr>
          <w:p>
            <w:pPr>
              <w:snapToGrid w:val="0"/>
              <w:jc w:val="center"/>
              <w:rPr>
                <w:rFonts w:ascii="仿宋_GB2312" w:eastAsia="仿宋_GB2312"/>
                <w:sz w:val="24"/>
                <w:szCs w:val="24"/>
              </w:rPr>
            </w:pPr>
          </w:p>
        </w:tc>
        <w:tc>
          <w:tcPr>
            <w:tcW w:w="4111" w:type="dxa"/>
            <w:vMerge w:val="restart"/>
          </w:tcPr>
          <w:p>
            <w:pPr>
              <w:snapToGrid w:val="0"/>
              <w:jc w:val="left"/>
              <w:rPr>
                <w:rFonts w:ascii="仿宋_GB2312" w:eastAsia="仿宋_GB2312"/>
                <w:sz w:val="24"/>
                <w:szCs w:val="24"/>
              </w:rPr>
            </w:pPr>
          </w:p>
        </w:tc>
        <w:tc>
          <w:tcPr>
            <w:tcW w:w="7938" w:type="dxa"/>
          </w:tcPr>
          <w:p>
            <w:pPr>
              <w:snapToGrid w:val="0"/>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Pr>
          <w:p>
            <w:pPr>
              <w:snapToGrid w:val="0"/>
              <w:rPr>
                <w:rFonts w:ascii="仿宋_GB2312" w:eastAsia="仿宋_GB2312"/>
                <w:sz w:val="24"/>
                <w:szCs w:val="24"/>
              </w:rPr>
            </w:pPr>
          </w:p>
        </w:tc>
        <w:tc>
          <w:tcPr>
            <w:tcW w:w="2552" w:type="dxa"/>
            <w:vMerge w:val="continue"/>
          </w:tcPr>
          <w:p>
            <w:pPr>
              <w:snapToGrid w:val="0"/>
              <w:jc w:val="center"/>
              <w:rPr>
                <w:rFonts w:ascii="仿宋_GB2312" w:eastAsia="仿宋_GB2312"/>
                <w:sz w:val="24"/>
                <w:szCs w:val="24"/>
              </w:rPr>
            </w:pPr>
          </w:p>
        </w:tc>
        <w:tc>
          <w:tcPr>
            <w:tcW w:w="4111" w:type="dxa"/>
            <w:vMerge w:val="continue"/>
          </w:tcPr>
          <w:p>
            <w:pPr>
              <w:snapToGrid w:val="0"/>
              <w:jc w:val="center"/>
              <w:rPr>
                <w:rFonts w:ascii="仿宋_GB2312" w:eastAsia="仿宋_GB2312"/>
                <w:sz w:val="24"/>
                <w:szCs w:val="24"/>
              </w:rPr>
            </w:pPr>
          </w:p>
        </w:tc>
        <w:tc>
          <w:tcPr>
            <w:tcW w:w="7938" w:type="dxa"/>
          </w:tcPr>
          <w:p>
            <w:pPr>
              <w:snapToGrid w:val="0"/>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Pr>
          <w:p>
            <w:pPr>
              <w:snapToGrid w:val="0"/>
              <w:rPr>
                <w:rFonts w:ascii="仿宋_GB2312" w:eastAsia="仿宋_GB2312"/>
                <w:sz w:val="24"/>
                <w:szCs w:val="24"/>
              </w:rPr>
            </w:pPr>
          </w:p>
        </w:tc>
        <w:tc>
          <w:tcPr>
            <w:tcW w:w="2552" w:type="dxa"/>
            <w:vMerge w:val="continue"/>
          </w:tcPr>
          <w:p>
            <w:pPr>
              <w:snapToGrid w:val="0"/>
              <w:jc w:val="center"/>
              <w:rPr>
                <w:rFonts w:ascii="仿宋_GB2312" w:eastAsia="仿宋_GB2312"/>
                <w:sz w:val="24"/>
                <w:szCs w:val="24"/>
              </w:rPr>
            </w:pPr>
          </w:p>
        </w:tc>
        <w:tc>
          <w:tcPr>
            <w:tcW w:w="4111" w:type="dxa"/>
            <w:vMerge w:val="continue"/>
          </w:tcPr>
          <w:p>
            <w:pPr>
              <w:snapToGrid w:val="0"/>
              <w:jc w:val="center"/>
              <w:rPr>
                <w:rFonts w:ascii="仿宋_GB2312" w:eastAsia="仿宋_GB2312"/>
                <w:sz w:val="24"/>
                <w:szCs w:val="24"/>
              </w:rPr>
            </w:pPr>
          </w:p>
        </w:tc>
        <w:tc>
          <w:tcPr>
            <w:tcW w:w="7938" w:type="dxa"/>
          </w:tcPr>
          <w:p>
            <w:pPr>
              <w:snapToGrid w:val="0"/>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Pr>
          <w:p>
            <w:pPr>
              <w:snapToGrid w:val="0"/>
              <w:rPr>
                <w:rFonts w:ascii="仿宋_GB2312" w:eastAsia="仿宋_GB2312"/>
                <w:sz w:val="24"/>
                <w:szCs w:val="24"/>
              </w:rPr>
            </w:pPr>
          </w:p>
        </w:tc>
        <w:tc>
          <w:tcPr>
            <w:tcW w:w="2552" w:type="dxa"/>
            <w:vMerge w:val="continue"/>
          </w:tcPr>
          <w:p>
            <w:pPr>
              <w:snapToGrid w:val="0"/>
              <w:jc w:val="center"/>
              <w:rPr>
                <w:rFonts w:ascii="仿宋_GB2312" w:eastAsia="仿宋_GB2312"/>
                <w:sz w:val="24"/>
                <w:szCs w:val="24"/>
              </w:rPr>
            </w:pPr>
          </w:p>
        </w:tc>
        <w:tc>
          <w:tcPr>
            <w:tcW w:w="4111" w:type="dxa"/>
            <w:vMerge w:val="restart"/>
          </w:tcPr>
          <w:p>
            <w:pPr>
              <w:snapToGrid w:val="0"/>
              <w:jc w:val="left"/>
              <w:rPr>
                <w:rFonts w:ascii="仿宋_GB2312" w:eastAsia="仿宋_GB2312"/>
                <w:sz w:val="24"/>
                <w:szCs w:val="24"/>
              </w:rPr>
            </w:pPr>
          </w:p>
        </w:tc>
        <w:tc>
          <w:tcPr>
            <w:tcW w:w="7938" w:type="dxa"/>
          </w:tcPr>
          <w:p>
            <w:pPr>
              <w:snapToGrid w:val="0"/>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Pr>
          <w:p>
            <w:pPr>
              <w:snapToGrid w:val="0"/>
              <w:rPr>
                <w:rFonts w:ascii="仿宋_GB2312" w:eastAsia="仿宋_GB2312"/>
                <w:sz w:val="24"/>
                <w:szCs w:val="24"/>
              </w:rPr>
            </w:pPr>
          </w:p>
        </w:tc>
        <w:tc>
          <w:tcPr>
            <w:tcW w:w="2552" w:type="dxa"/>
            <w:vMerge w:val="continue"/>
          </w:tcPr>
          <w:p>
            <w:pPr>
              <w:snapToGrid w:val="0"/>
              <w:jc w:val="center"/>
              <w:rPr>
                <w:rFonts w:ascii="仿宋_GB2312" w:eastAsia="仿宋_GB2312"/>
                <w:sz w:val="24"/>
                <w:szCs w:val="24"/>
              </w:rPr>
            </w:pPr>
          </w:p>
        </w:tc>
        <w:tc>
          <w:tcPr>
            <w:tcW w:w="4111" w:type="dxa"/>
            <w:vMerge w:val="continue"/>
          </w:tcPr>
          <w:p>
            <w:pPr>
              <w:snapToGrid w:val="0"/>
              <w:jc w:val="center"/>
              <w:rPr>
                <w:rFonts w:ascii="仿宋_GB2312" w:eastAsia="仿宋_GB2312"/>
                <w:sz w:val="24"/>
                <w:szCs w:val="24"/>
              </w:rPr>
            </w:pPr>
          </w:p>
        </w:tc>
        <w:tc>
          <w:tcPr>
            <w:tcW w:w="7938" w:type="dxa"/>
          </w:tcPr>
          <w:p>
            <w:pPr>
              <w:snapToGrid w:val="0"/>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Pr>
          <w:p>
            <w:pPr>
              <w:snapToGrid w:val="0"/>
              <w:rPr>
                <w:rFonts w:ascii="仿宋_GB2312" w:eastAsia="仿宋_GB2312"/>
                <w:sz w:val="24"/>
                <w:szCs w:val="24"/>
              </w:rPr>
            </w:pPr>
          </w:p>
        </w:tc>
        <w:tc>
          <w:tcPr>
            <w:tcW w:w="2552" w:type="dxa"/>
            <w:vMerge w:val="continue"/>
          </w:tcPr>
          <w:p>
            <w:pPr>
              <w:snapToGrid w:val="0"/>
              <w:jc w:val="center"/>
              <w:rPr>
                <w:rFonts w:ascii="仿宋_GB2312" w:eastAsia="仿宋_GB2312"/>
                <w:sz w:val="24"/>
                <w:szCs w:val="24"/>
              </w:rPr>
            </w:pPr>
          </w:p>
        </w:tc>
        <w:tc>
          <w:tcPr>
            <w:tcW w:w="4111" w:type="dxa"/>
            <w:vMerge w:val="continue"/>
          </w:tcPr>
          <w:p>
            <w:pPr>
              <w:snapToGrid w:val="0"/>
              <w:jc w:val="center"/>
              <w:rPr>
                <w:rFonts w:ascii="仿宋_GB2312" w:eastAsia="仿宋_GB2312"/>
                <w:sz w:val="24"/>
                <w:szCs w:val="24"/>
              </w:rPr>
            </w:pPr>
          </w:p>
        </w:tc>
        <w:tc>
          <w:tcPr>
            <w:tcW w:w="7938" w:type="dxa"/>
          </w:tcPr>
          <w:p>
            <w:pPr>
              <w:snapToGrid w:val="0"/>
              <w:jc w:val="center"/>
              <w:rPr>
                <w:rFonts w:ascii="仿宋_GB2312" w:eastAsia="仿宋_GB2312"/>
                <w:sz w:val="24"/>
                <w:szCs w:val="24"/>
              </w:rPr>
            </w:pPr>
          </w:p>
        </w:tc>
      </w:tr>
    </w:tbl>
    <w:p>
      <w:pPr>
        <w:spacing w:line="360" w:lineRule="auto"/>
        <w:rPr>
          <w:rFonts w:ascii="仿宋_GB2312" w:eastAsia="仿宋_GB2312"/>
          <w:sz w:val="32"/>
          <w:szCs w:val="32"/>
        </w:rPr>
        <w:sectPr>
          <w:footerReference r:id="rId3" w:type="default"/>
          <w:footerReference r:id="rId4" w:type="even"/>
          <w:pgSz w:w="16839" w:h="11907" w:orient="landscape"/>
          <w:pgMar w:top="907" w:right="964" w:bottom="907" w:left="964" w:header="851" w:footer="992" w:gutter="0"/>
          <w:cols w:space="425" w:num="1"/>
          <w:docGrid w:type="linesAndChars" w:linePitch="312" w:charSpace="0"/>
        </w:sectPr>
      </w:pPr>
    </w:p>
    <w:p>
      <w:pPr>
        <w:spacing w:line="560" w:lineRule="exact"/>
        <w:jc w:val="left"/>
        <w:rPr>
          <w:rFonts w:ascii="仿宋_GB2312" w:eastAsia="仿宋_GB2312"/>
          <w:sz w:val="32"/>
          <w:szCs w:val="32"/>
        </w:rPr>
      </w:pPr>
      <w:bookmarkStart w:id="1" w:name="_GoBack"/>
      <w:bookmarkEnd w:id="1"/>
      <w:r>
        <w:rPr>
          <w:rFonts w:hint="eastAsia" w:ascii="仿宋_GB2312" w:eastAsia="仿宋_GB2312"/>
          <w:sz w:val="32"/>
          <w:szCs w:val="32"/>
        </w:rPr>
        <w:t>附件5：</w:t>
      </w:r>
    </w:p>
    <w:p>
      <w:pPr>
        <w:pStyle w:val="11"/>
        <w:widowControl w:val="0"/>
        <w:jc w:val="center"/>
        <w:rPr>
          <w:rFonts w:ascii="方正小标宋简体" w:hAnsi="华文中宋" w:eastAsia="方正小标宋简体" w:cs="Times New Roman"/>
          <w:kern w:val="2"/>
          <w:sz w:val="44"/>
          <w:szCs w:val="44"/>
        </w:rPr>
      </w:pPr>
      <w:r>
        <w:rPr>
          <w:rFonts w:hint="eastAsia" w:ascii="方正小标宋简体" w:hAnsi="华文中宋" w:eastAsia="方正小标宋简体" w:cs="Times New Roman"/>
          <w:kern w:val="2"/>
          <w:sz w:val="44"/>
          <w:szCs w:val="44"/>
        </w:rPr>
        <w:t>上海电力大学创新示范党支部申报工作</w:t>
      </w:r>
    </w:p>
    <w:p>
      <w:pPr>
        <w:pStyle w:val="11"/>
        <w:widowControl w:val="0"/>
        <w:jc w:val="center"/>
        <w:rPr>
          <w:rFonts w:ascii="方正小标宋简体" w:hAnsi="华文中宋" w:eastAsia="方正小标宋简体" w:cs="Times New Roman"/>
          <w:kern w:val="2"/>
          <w:sz w:val="44"/>
          <w:szCs w:val="44"/>
        </w:rPr>
      </w:pPr>
      <w:r>
        <w:rPr>
          <w:rFonts w:hint="eastAsia" w:ascii="方正小标宋简体" w:hAnsi="华文中宋" w:eastAsia="方正小标宋简体" w:cs="Times New Roman"/>
          <w:kern w:val="2"/>
          <w:sz w:val="44"/>
          <w:szCs w:val="44"/>
        </w:rPr>
        <w:t>实施办法</w:t>
      </w:r>
    </w:p>
    <w:p>
      <w:pPr>
        <w:pStyle w:val="11"/>
        <w:widowControl w:val="0"/>
        <w:ind w:firstLine="717" w:firstLineChars="239"/>
        <w:jc w:val="both"/>
        <w:rPr>
          <w:rFonts w:ascii="仿宋_GB2312" w:hAnsi="ˎ̥" w:eastAsia="仿宋_GB2312"/>
          <w:sz w:val="30"/>
          <w:szCs w:val="30"/>
        </w:rPr>
      </w:pPr>
      <w:r>
        <w:rPr>
          <w:rFonts w:hint="eastAsia" w:ascii="仿宋_GB2312" w:hAnsi="ˎ̥" w:eastAsia="仿宋_GB2312"/>
          <w:sz w:val="30"/>
          <w:szCs w:val="30"/>
        </w:rPr>
        <w:t>为切实推进学校基层党建工作高质量创新发展，巩固深化“不忘初心、牢记使命”主题教育成果，建立党史学习教育长效机制，探索新形势下高校基层党建工作的新载体、新途径、新方法，增强基层党组织的创造力、凝聚力和战斗力，经研究，决定在基层党组织中开展创新示范党支部申报工作。具体实施办法如下：</w:t>
      </w:r>
    </w:p>
    <w:p>
      <w:pPr>
        <w:pStyle w:val="11"/>
        <w:widowControl w:val="0"/>
        <w:ind w:firstLine="720" w:firstLineChars="239"/>
        <w:jc w:val="both"/>
        <w:rPr>
          <w:rFonts w:ascii="黑体" w:hAnsi="黑体" w:eastAsia="黑体"/>
          <w:sz w:val="30"/>
          <w:szCs w:val="30"/>
        </w:rPr>
      </w:pPr>
      <w:r>
        <w:rPr>
          <w:rFonts w:hint="eastAsia" w:ascii="黑体" w:hAnsi="黑体" w:eastAsia="黑体"/>
          <w:b/>
          <w:bCs/>
          <w:sz w:val="30"/>
          <w:szCs w:val="30"/>
        </w:rPr>
        <w:t>一、指导思想</w:t>
      </w:r>
    </w:p>
    <w:p>
      <w:pPr>
        <w:pStyle w:val="11"/>
        <w:widowControl w:val="0"/>
        <w:ind w:firstLine="717" w:firstLineChars="239"/>
        <w:jc w:val="both"/>
        <w:rPr>
          <w:rFonts w:ascii="仿宋_GB2312" w:hAnsi="ˎ̥" w:eastAsia="仿宋_GB2312"/>
          <w:sz w:val="30"/>
          <w:szCs w:val="30"/>
        </w:rPr>
      </w:pPr>
      <w:r>
        <w:rPr>
          <w:rFonts w:hint="eastAsia" w:ascii="仿宋_GB2312" w:hAnsi="ˎ̥" w:eastAsia="仿宋_GB2312"/>
          <w:sz w:val="30"/>
          <w:szCs w:val="30"/>
        </w:rPr>
        <w:t>以习近平新时代中国特色社会主义思想为指导，贯彻落实《中国共产党支部工作条例（试行）》，紧紧围绕学校中心工作，以创新示范党支部申报工作为载体，以提升基层党组织组织力为重点，以教育、管理、监督党员有力，宣传、组织、凝聚、服务群众有力为主要内容，营造良好的基层党建工作氛围，力争形成“一支部一方案一品牌”，推进基层党建工作高质量创新发展。</w:t>
      </w:r>
    </w:p>
    <w:p>
      <w:pPr>
        <w:pStyle w:val="11"/>
        <w:widowControl w:val="0"/>
        <w:ind w:firstLine="720" w:firstLineChars="239"/>
        <w:jc w:val="both"/>
        <w:rPr>
          <w:rFonts w:ascii="黑体" w:hAnsi="黑体" w:eastAsia="黑体"/>
          <w:b/>
          <w:bCs/>
          <w:sz w:val="30"/>
          <w:szCs w:val="30"/>
        </w:rPr>
      </w:pPr>
      <w:r>
        <w:rPr>
          <w:rFonts w:hint="eastAsia" w:ascii="黑体" w:hAnsi="黑体" w:eastAsia="黑体"/>
          <w:b/>
          <w:bCs/>
          <w:sz w:val="30"/>
          <w:szCs w:val="30"/>
        </w:rPr>
        <w:t>二、申报原则</w:t>
      </w:r>
    </w:p>
    <w:p>
      <w:pPr>
        <w:pStyle w:val="11"/>
        <w:widowControl w:val="0"/>
        <w:ind w:firstLine="717" w:firstLineChars="239"/>
        <w:jc w:val="both"/>
        <w:rPr>
          <w:rFonts w:ascii="仿宋_GB2312" w:hAnsi="ˎ̥" w:eastAsia="仿宋_GB2312"/>
          <w:sz w:val="30"/>
          <w:szCs w:val="30"/>
        </w:rPr>
      </w:pPr>
      <w:r>
        <w:rPr>
          <w:rFonts w:hint="eastAsia" w:ascii="仿宋_GB2312" w:hAnsi="ˎ̥" w:eastAsia="仿宋_GB2312"/>
          <w:sz w:val="30"/>
          <w:szCs w:val="30"/>
        </w:rPr>
        <w:t>第一，坚持强化政治引领和增强创新功能相统一的原则。党的组织是政治组织，政治功能是第一位的。创新示范党支部首先要强化政治引领，处理好党支部政治引领作用发挥和增强创新功能的关系。</w:t>
      </w:r>
    </w:p>
    <w:p>
      <w:pPr>
        <w:pStyle w:val="11"/>
        <w:widowControl w:val="0"/>
        <w:ind w:firstLine="717" w:firstLineChars="239"/>
        <w:jc w:val="both"/>
        <w:rPr>
          <w:rFonts w:ascii="仿宋_GB2312" w:hAnsi="ˎ̥" w:eastAsia="仿宋_GB2312"/>
          <w:sz w:val="30"/>
          <w:szCs w:val="30"/>
        </w:rPr>
      </w:pPr>
      <w:r>
        <w:rPr>
          <w:rFonts w:hint="eastAsia" w:ascii="仿宋_GB2312" w:hAnsi="ˎ̥" w:eastAsia="仿宋_GB2312"/>
          <w:sz w:val="30"/>
          <w:szCs w:val="30"/>
        </w:rPr>
        <w:t>第二，坚持增强创新活力和与中心工作深度融合相统一的原则。开展创新型党支部申报，目的在于服务中心服务大局。加强党组织的创新活动，必须紧扣校党委中心工作、大局大势。</w:t>
      </w:r>
    </w:p>
    <w:p>
      <w:pPr>
        <w:pStyle w:val="11"/>
        <w:widowControl w:val="0"/>
        <w:ind w:firstLine="717" w:firstLineChars="239"/>
        <w:jc w:val="both"/>
        <w:rPr>
          <w:rFonts w:ascii="仿宋_GB2312" w:hAnsi="ˎ̥" w:eastAsia="仿宋_GB2312"/>
          <w:sz w:val="30"/>
          <w:szCs w:val="30"/>
        </w:rPr>
      </w:pPr>
      <w:r>
        <w:rPr>
          <w:rFonts w:hint="eastAsia" w:ascii="仿宋_GB2312" w:hAnsi="ˎ̥" w:eastAsia="仿宋_GB2312"/>
          <w:sz w:val="30"/>
          <w:szCs w:val="30"/>
        </w:rPr>
        <w:t>第三，坚持继承优良传统和不断开拓创新相统一的原则。创新不是另起炉灶，另搞一套。既要传承长期以来形成的特色做法，把好做法好经验用制度固定下来、坚持下去，又要适应新形势任务需要，不断改进和探索。</w:t>
      </w:r>
    </w:p>
    <w:p>
      <w:pPr>
        <w:pStyle w:val="11"/>
        <w:widowControl w:val="0"/>
        <w:ind w:firstLine="717" w:firstLineChars="239"/>
        <w:jc w:val="both"/>
        <w:rPr>
          <w:rFonts w:ascii="仿宋_GB2312" w:hAnsi="ˎ̥" w:eastAsia="仿宋_GB2312"/>
          <w:sz w:val="30"/>
          <w:szCs w:val="30"/>
        </w:rPr>
      </w:pPr>
      <w:r>
        <w:rPr>
          <w:rFonts w:hint="eastAsia" w:ascii="仿宋_GB2312" w:hAnsi="ˎ̥" w:eastAsia="仿宋_GB2312"/>
          <w:sz w:val="30"/>
          <w:szCs w:val="30"/>
        </w:rPr>
        <w:t>第四，坚持强化顶层设计和尊重基层首创相统一的原则。创新型党支部既依靠顶层设计“指路”，又需要基层实践“探路”。既要制定周密严谨的顶层设计，有领导、有步骤推进申报工作，又要建立容错试错机制，营造宽松的创新环境，让广大党员和党支部敢创新、愿创新、善创新。</w:t>
      </w:r>
    </w:p>
    <w:p>
      <w:pPr>
        <w:pStyle w:val="11"/>
        <w:widowControl w:val="0"/>
        <w:ind w:firstLine="720" w:firstLineChars="239"/>
        <w:jc w:val="both"/>
        <w:rPr>
          <w:rFonts w:ascii="黑体" w:hAnsi="黑体" w:eastAsia="黑体"/>
          <w:b/>
          <w:bCs/>
          <w:sz w:val="30"/>
          <w:szCs w:val="30"/>
        </w:rPr>
      </w:pPr>
      <w:r>
        <w:rPr>
          <w:rFonts w:hint="eastAsia" w:ascii="黑体" w:hAnsi="黑体" w:eastAsia="黑体"/>
          <w:b/>
          <w:bCs/>
          <w:sz w:val="30"/>
          <w:szCs w:val="30"/>
        </w:rPr>
        <w:t>三、申报内容</w:t>
      </w:r>
    </w:p>
    <w:p>
      <w:pPr>
        <w:pStyle w:val="11"/>
        <w:widowControl w:val="0"/>
        <w:ind w:firstLine="717" w:firstLineChars="239"/>
        <w:jc w:val="both"/>
        <w:rPr>
          <w:rFonts w:ascii="仿宋_GB2312" w:hAnsi="ˎ̥" w:eastAsia="仿宋_GB2312"/>
          <w:sz w:val="30"/>
          <w:szCs w:val="30"/>
        </w:rPr>
      </w:pPr>
      <w:r>
        <w:rPr>
          <w:rFonts w:hint="eastAsia" w:ascii="仿宋_GB2312" w:hAnsi="ˎ̥" w:eastAsia="仿宋_GB2312"/>
          <w:sz w:val="30"/>
          <w:szCs w:val="30"/>
        </w:rPr>
        <w:t>第一，支部工作模式创新。鼓励党支部探索“党建+学科建设、教学科研、管理服务”等模式，大力推广“互联网+党建”等做法，推动党建工作与二级单位中心工作深度融合，推进创新示范党支部建设，形成支部建设创新项目和创新案例。</w:t>
      </w:r>
    </w:p>
    <w:p>
      <w:pPr>
        <w:pStyle w:val="11"/>
        <w:widowControl w:val="0"/>
        <w:ind w:firstLine="717" w:firstLineChars="239"/>
        <w:jc w:val="both"/>
        <w:rPr>
          <w:rFonts w:ascii="仿宋_GB2312" w:hAnsi="ˎ̥" w:eastAsia="仿宋_GB2312"/>
          <w:sz w:val="30"/>
          <w:szCs w:val="30"/>
        </w:rPr>
      </w:pPr>
      <w:r>
        <w:rPr>
          <w:rFonts w:hint="eastAsia" w:ascii="仿宋_GB2312" w:hAnsi="ˎ̥" w:eastAsia="仿宋_GB2312"/>
          <w:sz w:val="30"/>
          <w:szCs w:val="30"/>
        </w:rPr>
        <w:t>第二，骨干队伍建设创新。突出创新导向，注重把有思路、有办法、有闯劲的优秀分子吸收到党内来；树立创新理念,注重动员和组织党员积极研究新情况、发现新问题，推动创新发展。</w:t>
      </w:r>
    </w:p>
    <w:p>
      <w:pPr>
        <w:pStyle w:val="11"/>
        <w:widowControl w:val="0"/>
        <w:ind w:firstLine="717" w:firstLineChars="239"/>
        <w:jc w:val="both"/>
        <w:rPr>
          <w:rFonts w:ascii="仿宋_GB2312" w:hAnsi="ˎ̥" w:eastAsia="仿宋_GB2312"/>
          <w:sz w:val="30"/>
          <w:szCs w:val="30"/>
        </w:rPr>
      </w:pPr>
      <w:r>
        <w:rPr>
          <w:rFonts w:hint="eastAsia" w:ascii="仿宋_GB2312" w:hAnsi="ˎ̥" w:eastAsia="仿宋_GB2312"/>
          <w:sz w:val="30"/>
          <w:szCs w:val="30"/>
        </w:rPr>
        <w:t>第三，平台阵地建设创新。阵地是创新的基础，阵地建设要彰显党建元素，充分利用信息化平台和新媒体手段开展党员日常教育，积极拓展网络基层党建阵地，积极利用“上电组工在线”微信公众平台，加强日常宣传教育，增强党建工作的吸引力和实效性。</w:t>
      </w:r>
    </w:p>
    <w:p>
      <w:pPr>
        <w:pStyle w:val="11"/>
        <w:widowControl w:val="0"/>
        <w:ind w:firstLine="717" w:firstLineChars="239"/>
        <w:jc w:val="both"/>
        <w:rPr>
          <w:rFonts w:ascii="仿宋_GB2312" w:hAnsi="ˎ̥" w:eastAsia="仿宋_GB2312"/>
          <w:sz w:val="30"/>
          <w:szCs w:val="30"/>
        </w:rPr>
      </w:pPr>
      <w:r>
        <w:rPr>
          <w:rFonts w:hint="eastAsia" w:ascii="仿宋_GB2312" w:hAnsi="ˎ̥" w:eastAsia="仿宋_GB2312"/>
          <w:sz w:val="30"/>
          <w:szCs w:val="30"/>
        </w:rPr>
        <w:t>第四，支部活动载体创新。结合实际工作，创新 “三会一课”、主题党日活动载体，提升“三会一课”和主题党日活动的有效性和对党员的吸引力，增强党支部的凝聚力。</w:t>
      </w:r>
    </w:p>
    <w:p>
      <w:pPr>
        <w:pStyle w:val="11"/>
        <w:widowControl w:val="0"/>
        <w:ind w:firstLine="717" w:firstLineChars="239"/>
        <w:jc w:val="both"/>
        <w:rPr>
          <w:rFonts w:ascii="仿宋_GB2312" w:hAnsi="ˎ̥" w:eastAsia="仿宋_GB2312"/>
          <w:sz w:val="30"/>
          <w:szCs w:val="30"/>
        </w:rPr>
      </w:pPr>
      <w:r>
        <w:rPr>
          <w:rFonts w:hint="eastAsia" w:ascii="仿宋_GB2312" w:hAnsi="ˎ̥" w:eastAsia="仿宋_GB2312"/>
          <w:sz w:val="30"/>
          <w:szCs w:val="30"/>
        </w:rPr>
        <w:t>第五，制度机制保障创新。聚焦二级单位中心工作和重点任务，探索建立“不忘初心、牢记使命”主题教育长效机制，建立健全党员立足岗位创先争优的长效机制，通过制度机制创新，推进党支部标准化规范化建设，提升党支部组织力。</w:t>
      </w:r>
    </w:p>
    <w:p>
      <w:pPr>
        <w:pStyle w:val="11"/>
        <w:widowControl w:val="0"/>
        <w:ind w:firstLine="720" w:firstLineChars="239"/>
        <w:jc w:val="both"/>
        <w:rPr>
          <w:rFonts w:ascii="黑体" w:hAnsi="黑体" w:eastAsia="黑体"/>
          <w:b/>
          <w:bCs/>
          <w:sz w:val="30"/>
          <w:szCs w:val="30"/>
        </w:rPr>
      </w:pPr>
      <w:r>
        <w:rPr>
          <w:rFonts w:hint="eastAsia" w:ascii="黑体" w:hAnsi="黑体" w:eastAsia="黑体"/>
          <w:b/>
          <w:bCs/>
          <w:sz w:val="30"/>
          <w:szCs w:val="30"/>
        </w:rPr>
        <w:t>四、申报要求</w:t>
      </w:r>
    </w:p>
    <w:p>
      <w:pPr>
        <w:pStyle w:val="11"/>
        <w:widowControl w:val="0"/>
        <w:ind w:firstLine="717" w:firstLineChars="239"/>
        <w:jc w:val="both"/>
        <w:rPr>
          <w:rFonts w:ascii="仿宋_GB2312" w:hAnsi="ˎ̥" w:eastAsia="仿宋_GB2312"/>
          <w:sz w:val="30"/>
          <w:szCs w:val="30"/>
        </w:rPr>
      </w:pPr>
      <w:r>
        <w:rPr>
          <w:rFonts w:hint="eastAsia" w:ascii="仿宋_GB2312" w:hAnsi="ˎ̥" w:eastAsia="仿宋_GB2312"/>
          <w:sz w:val="30"/>
          <w:szCs w:val="30"/>
        </w:rPr>
        <w:t>（一）要具有创新性和广泛性。要紧密结合本单位实际情况，确实具有创新性和可操作性，能够调动基层党支部、党员和普通群众的积极性，能够对本单位的各项事业发展起到促进作用。</w:t>
      </w:r>
    </w:p>
    <w:p>
      <w:pPr>
        <w:pStyle w:val="11"/>
        <w:widowControl w:val="0"/>
        <w:ind w:firstLine="717" w:firstLineChars="239"/>
        <w:jc w:val="both"/>
        <w:rPr>
          <w:rFonts w:ascii="仿宋_GB2312" w:hAnsi="ˎ̥" w:eastAsia="仿宋_GB2312"/>
          <w:sz w:val="30"/>
          <w:szCs w:val="30"/>
        </w:rPr>
      </w:pPr>
      <w:r>
        <w:rPr>
          <w:rFonts w:hint="eastAsia" w:ascii="仿宋_GB2312" w:hAnsi="ˎ̥" w:eastAsia="仿宋_GB2312"/>
          <w:sz w:val="30"/>
          <w:szCs w:val="30"/>
        </w:rPr>
        <w:t>（二）要以原有工作为基础。各党支部在立项活动中，要在原有工作基础上，围绕基层党建工作中具有基础性、全局性、前瞻性的实际问题进行论证、设计和实践，有针对性地进行申报。</w:t>
      </w:r>
    </w:p>
    <w:p>
      <w:pPr>
        <w:pStyle w:val="11"/>
        <w:widowControl w:val="0"/>
        <w:ind w:firstLine="717" w:firstLineChars="239"/>
        <w:jc w:val="both"/>
        <w:rPr>
          <w:rFonts w:ascii="仿宋_GB2312" w:hAnsi="ˎ̥" w:eastAsia="仿宋_GB2312"/>
          <w:sz w:val="30"/>
          <w:szCs w:val="30"/>
        </w:rPr>
      </w:pPr>
      <w:r>
        <w:rPr>
          <w:rFonts w:hint="eastAsia" w:ascii="仿宋_GB2312" w:hAnsi="ˎ̥" w:eastAsia="仿宋_GB2312"/>
          <w:sz w:val="30"/>
          <w:szCs w:val="30"/>
        </w:rPr>
        <w:t>（三）要有实践性和长效性。要以基层党建工作中进行的制度机制、管理模式、活动载体等的探索创新和实践为主要内容。</w:t>
      </w:r>
    </w:p>
    <w:p>
      <w:pPr>
        <w:pStyle w:val="11"/>
        <w:widowControl w:val="0"/>
        <w:ind w:firstLine="720" w:firstLineChars="239"/>
        <w:jc w:val="both"/>
        <w:rPr>
          <w:rFonts w:ascii="黑体" w:hAnsi="黑体" w:eastAsia="黑体"/>
          <w:b/>
          <w:bCs/>
          <w:sz w:val="30"/>
          <w:szCs w:val="30"/>
        </w:rPr>
      </w:pPr>
      <w:r>
        <w:rPr>
          <w:rFonts w:hint="eastAsia" w:ascii="黑体" w:hAnsi="黑体" w:eastAsia="黑体"/>
          <w:b/>
          <w:bCs/>
          <w:sz w:val="30"/>
          <w:szCs w:val="30"/>
        </w:rPr>
        <w:t>五、组织保障</w:t>
      </w:r>
    </w:p>
    <w:p>
      <w:pPr>
        <w:pStyle w:val="11"/>
        <w:widowControl w:val="0"/>
        <w:ind w:firstLine="717" w:firstLineChars="239"/>
        <w:jc w:val="both"/>
        <w:rPr>
          <w:rFonts w:ascii="仿宋_GB2312" w:hAnsi="ˎ̥" w:eastAsia="仿宋_GB2312"/>
          <w:sz w:val="30"/>
          <w:szCs w:val="30"/>
        </w:rPr>
      </w:pPr>
      <w:r>
        <w:rPr>
          <w:rFonts w:ascii="仿宋_GB2312" w:hAnsi="ˎ̥" w:eastAsia="仿宋_GB2312"/>
          <w:sz w:val="30"/>
          <w:szCs w:val="30"/>
        </w:rPr>
        <w:t>一是压实领导责任。要求各二级党组织</w:t>
      </w:r>
      <w:r>
        <w:rPr>
          <w:rFonts w:hint="eastAsia" w:ascii="仿宋_GB2312" w:hAnsi="ˎ̥" w:eastAsia="仿宋_GB2312"/>
          <w:sz w:val="30"/>
          <w:szCs w:val="30"/>
        </w:rPr>
        <w:t>要</w:t>
      </w:r>
      <w:r>
        <w:rPr>
          <w:rFonts w:ascii="仿宋_GB2312" w:hAnsi="ˎ̥" w:eastAsia="仿宋_GB2312"/>
          <w:sz w:val="30"/>
          <w:szCs w:val="30"/>
        </w:rPr>
        <w:t>把履行创新示范党支部</w:t>
      </w:r>
      <w:r>
        <w:rPr>
          <w:rFonts w:hint="eastAsia" w:ascii="仿宋_GB2312" w:hAnsi="ˎ̥" w:eastAsia="仿宋_GB2312"/>
          <w:sz w:val="30"/>
          <w:szCs w:val="30"/>
        </w:rPr>
        <w:t>建设</w:t>
      </w:r>
      <w:r>
        <w:rPr>
          <w:rFonts w:ascii="仿宋_GB2312" w:hAnsi="ˎ̥" w:eastAsia="仿宋_GB2312"/>
          <w:sz w:val="30"/>
          <w:szCs w:val="30"/>
        </w:rPr>
        <w:t>的责任放在心上、抓在手上、扛在肩上，把“一岗双责”落到实处。</w:t>
      </w:r>
    </w:p>
    <w:p>
      <w:pPr>
        <w:pStyle w:val="11"/>
        <w:widowControl w:val="0"/>
        <w:ind w:firstLine="717" w:firstLineChars="239"/>
        <w:jc w:val="both"/>
        <w:rPr>
          <w:rFonts w:ascii="仿宋_GB2312" w:hAnsi="ˎ̥" w:eastAsia="仿宋_GB2312"/>
          <w:sz w:val="30"/>
          <w:szCs w:val="30"/>
        </w:rPr>
      </w:pPr>
      <w:r>
        <w:rPr>
          <w:rFonts w:ascii="仿宋_GB2312" w:hAnsi="ˎ̥" w:eastAsia="仿宋_GB2312"/>
          <w:sz w:val="30"/>
          <w:szCs w:val="30"/>
        </w:rPr>
        <w:t>二是精心统筹谋划。</w:t>
      </w:r>
      <w:r>
        <w:rPr>
          <w:rFonts w:hint="eastAsia" w:ascii="仿宋_GB2312" w:hAnsi="ˎ̥" w:eastAsia="仿宋_GB2312"/>
          <w:sz w:val="30"/>
          <w:szCs w:val="30"/>
        </w:rPr>
        <w:t>各二级党组织要指导支部</w:t>
      </w:r>
      <w:r>
        <w:rPr>
          <w:rFonts w:ascii="仿宋_GB2312" w:hAnsi="ˎ̥" w:eastAsia="仿宋_GB2312"/>
          <w:sz w:val="30"/>
          <w:szCs w:val="30"/>
        </w:rPr>
        <w:t>认真研究谋划基本思路、总体布局和推进步骤，制定实施意见和工作方案，提出切合实际的具体目标和务实管用的工作措施。</w:t>
      </w:r>
    </w:p>
    <w:p>
      <w:pPr>
        <w:pStyle w:val="11"/>
        <w:widowControl w:val="0"/>
        <w:ind w:firstLine="717" w:firstLineChars="239"/>
        <w:jc w:val="both"/>
        <w:rPr>
          <w:rFonts w:ascii="仿宋_GB2312" w:hAnsi="ˎ̥" w:eastAsia="仿宋_GB2312"/>
          <w:sz w:val="30"/>
          <w:szCs w:val="30"/>
        </w:rPr>
      </w:pPr>
      <w:r>
        <w:rPr>
          <w:rFonts w:ascii="仿宋_GB2312" w:hAnsi="ˎ̥" w:eastAsia="仿宋_GB2312"/>
          <w:sz w:val="30"/>
          <w:szCs w:val="30"/>
        </w:rPr>
        <w:t>三是拓展创新手段。创新思维方式和工作方法，运用大数据技术手段，推进创新示范党支部</w:t>
      </w:r>
      <w:r>
        <w:rPr>
          <w:rFonts w:hint="eastAsia" w:ascii="仿宋_GB2312" w:hAnsi="ˎ̥" w:eastAsia="仿宋_GB2312"/>
          <w:sz w:val="30"/>
          <w:szCs w:val="30"/>
        </w:rPr>
        <w:t>建设</w:t>
      </w:r>
      <w:r>
        <w:rPr>
          <w:rFonts w:ascii="仿宋_GB2312" w:hAnsi="ˎ̥" w:eastAsia="仿宋_GB2312"/>
          <w:sz w:val="30"/>
          <w:szCs w:val="30"/>
        </w:rPr>
        <w:t>，促进党支部自身建设和推动发展、服务群众等工作的规范化、科学化、智慧化。</w:t>
      </w:r>
    </w:p>
    <w:p>
      <w:pPr>
        <w:pStyle w:val="11"/>
        <w:widowControl w:val="0"/>
        <w:ind w:firstLine="717" w:firstLineChars="239"/>
        <w:jc w:val="both"/>
        <w:rPr>
          <w:rFonts w:ascii="仿宋_GB2312" w:hAnsi="ˎ̥" w:eastAsia="仿宋_GB2312"/>
          <w:sz w:val="30"/>
          <w:szCs w:val="30"/>
        </w:rPr>
      </w:pPr>
      <w:r>
        <w:rPr>
          <w:rFonts w:ascii="仿宋_GB2312" w:hAnsi="ˎ̥" w:eastAsia="仿宋_GB2312"/>
          <w:sz w:val="30"/>
          <w:szCs w:val="30"/>
        </w:rPr>
        <w:t>四是强化督查指导。各二级党组织要开展常态化督导，列出督导清单，细化督导任务，采取多种方式进行督导，定期进行分析研判，查找存在问题，剖析问题原因，寻求解决办法。</w:t>
      </w:r>
    </w:p>
    <w:p>
      <w:pPr>
        <w:pStyle w:val="11"/>
        <w:widowControl w:val="0"/>
        <w:ind w:firstLine="717" w:firstLineChars="239"/>
        <w:jc w:val="both"/>
        <w:rPr>
          <w:rFonts w:ascii="仿宋_GB2312" w:hAnsi="ˎ̥" w:eastAsia="仿宋_GB2312"/>
          <w:sz w:val="30"/>
          <w:szCs w:val="30"/>
        </w:rPr>
      </w:pPr>
      <w:r>
        <w:rPr>
          <w:rFonts w:ascii="仿宋_GB2312" w:hAnsi="ˎ̥" w:eastAsia="仿宋_GB2312"/>
          <w:sz w:val="30"/>
          <w:szCs w:val="30"/>
        </w:rPr>
        <w:t>五是注重典型引领。加大典型培育，加强宣传推广，强化示范带动，培育树立一批叫得响、立得住、可推广、能持久的先进典型。</w:t>
      </w:r>
    </w:p>
    <w:p>
      <w:pPr>
        <w:pStyle w:val="11"/>
        <w:widowControl w:val="0"/>
        <w:ind w:firstLine="720" w:firstLineChars="239"/>
        <w:jc w:val="both"/>
        <w:rPr>
          <w:rFonts w:ascii="黑体" w:hAnsi="黑体" w:eastAsia="黑体"/>
          <w:b/>
          <w:bCs/>
          <w:sz w:val="30"/>
          <w:szCs w:val="30"/>
        </w:rPr>
      </w:pPr>
      <w:r>
        <w:rPr>
          <w:rFonts w:hint="eastAsia" w:ascii="黑体" w:hAnsi="黑体" w:eastAsia="黑体"/>
          <w:b/>
          <w:bCs/>
          <w:sz w:val="30"/>
          <w:szCs w:val="30"/>
        </w:rPr>
        <w:t>六、申报评选流程</w:t>
      </w:r>
    </w:p>
    <w:p>
      <w:pPr>
        <w:pStyle w:val="11"/>
        <w:widowControl w:val="0"/>
        <w:ind w:firstLine="717" w:firstLineChars="239"/>
        <w:jc w:val="both"/>
        <w:rPr>
          <w:rFonts w:ascii="仿宋_GB2312" w:hAnsi="ˎ̥" w:eastAsia="仿宋_GB2312"/>
          <w:sz w:val="30"/>
          <w:szCs w:val="30"/>
        </w:rPr>
      </w:pPr>
      <w:r>
        <w:rPr>
          <w:rFonts w:hint="eastAsia" w:ascii="仿宋_GB2312" w:hAnsi="ˎ̥" w:eastAsia="仿宋_GB2312"/>
          <w:sz w:val="30"/>
          <w:szCs w:val="30"/>
        </w:rPr>
        <w:t>各二级党组织应结合基层党建工作质量提升工程中期评估工作，在评估结果为</w:t>
      </w:r>
      <w:r>
        <w:rPr>
          <w:rFonts w:ascii="仿宋_GB2312" w:hAnsi="ˎ̥" w:eastAsia="仿宋_GB2312"/>
          <w:sz w:val="30"/>
          <w:szCs w:val="30"/>
        </w:rPr>
        <w:t>“A”</w:t>
      </w:r>
      <w:r>
        <w:rPr>
          <w:rFonts w:hint="eastAsia" w:ascii="仿宋_GB2312" w:hAnsi="ˎ̥" w:eastAsia="仿宋_GB2312"/>
          <w:sz w:val="30"/>
          <w:szCs w:val="30"/>
        </w:rPr>
        <w:t>的党支部中遴选基础好、有特色的党支部推荐申报校级创新示范党支部，有全日制学生的党组织至多可推荐两个优秀党支部申报，其他党组织至多可推荐一个优秀党支部申报。10月20日前将</w:t>
      </w:r>
      <w:r>
        <w:rPr>
          <w:rFonts w:ascii="仿宋_GB2312" w:hAnsi="ˎ̥" w:eastAsia="仿宋_GB2312"/>
          <w:sz w:val="30"/>
          <w:szCs w:val="30"/>
        </w:rPr>
        <w:t>《</w:t>
      </w:r>
      <w:r>
        <w:rPr>
          <w:rFonts w:hint="eastAsia" w:ascii="仿宋_GB2312" w:hAnsi="ˎ̥" w:eastAsia="仿宋_GB2312"/>
          <w:sz w:val="30"/>
          <w:szCs w:val="30"/>
        </w:rPr>
        <w:t>上海电力大学</w:t>
      </w:r>
      <w:r>
        <w:rPr>
          <w:rFonts w:ascii="仿宋_GB2312" w:hAnsi="ˎ̥" w:eastAsia="仿宋_GB2312"/>
          <w:sz w:val="30"/>
          <w:szCs w:val="30"/>
        </w:rPr>
        <w:t>大学创新示范党支部申</w:t>
      </w:r>
      <w:r>
        <w:rPr>
          <w:rFonts w:hint="eastAsia" w:ascii="仿宋_GB2312" w:hAnsi="ˎ̥" w:eastAsia="仿宋_GB2312"/>
          <w:sz w:val="30"/>
          <w:szCs w:val="30"/>
        </w:rPr>
        <w:t>报表</w:t>
      </w:r>
      <w:r>
        <w:rPr>
          <w:rFonts w:ascii="仿宋_GB2312" w:hAnsi="ˎ̥" w:eastAsia="仿宋_GB2312"/>
          <w:sz w:val="30"/>
          <w:szCs w:val="30"/>
        </w:rPr>
        <w:t>》</w:t>
      </w:r>
      <w:r>
        <w:rPr>
          <w:rFonts w:hint="eastAsia" w:ascii="仿宋_GB2312" w:hAnsi="ˎ̥" w:eastAsia="仿宋_GB2312"/>
          <w:sz w:val="30"/>
          <w:szCs w:val="30"/>
        </w:rPr>
        <w:t>报送校党委组织部（纸质盖章版材料交至图文中心1038办公室，电子版材料发送至组织部邮箱z</w:t>
      </w:r>
      <w:r>
        <w:rPr>
          <w:rFonts w:ascii="仿宋_GB2312" w:hAnsi="ˎ̥" w:eastAsia="仿宋_GB2312"/>
          <w:sz w:val="30"/>
          <w:szCs w:val="30"/>
        </w:rPr>
        <w:t>uzhibu@shiep.edu.cn）</w:t>
      </w:r>
      <w:r>
        <w:rPr>
          <w:rFonts w:hint="eastAsia" w:ascii="仿宋_GB2312" w:hAnsi="ˎ̥" w:eastAsia="仿宋_GB2312"/>
          <w:sz w:val="30"/>
          <w:szCs w:val="30"/>
        </w:rPr>
        <w:t>;校党委组织部</w:t>
      </w:r>
      <w:r>
        <w:rPr>
          <w:rFonts w:ascii="仿宋_GB2312" w:hAnsi="ˎ̥" w:eastAsia="仿宋_GB2312"/>
          <w:sz w:val="30"/>
          <w:szCs w:val="30"/>
        </w:rPr>
        <w:t>组织评审工作</w:t>
      </w:r>
      <w:r>
        <w:rPr>
          <w:rFonts w:hint="eastAsia" w:ascii="仿宋_GB2312" w:hAnsi="ˎ̥" w:eastAsia="仿宋_GB2312"/>
          <w:sz w:val="30"/>
          <w:szCs w:val="30"/>
        </w:rPr>
        <w:t>小</w:t>
      </w:r>
      <w:r>
        <w:rPr>
          <w:rFonts w:ascii="仿宋_GB2312" w:hAnsi="ˎ̥" w:eastAsia="仿宋_GB2312"/>
          <w:sz w:val="30"/>
          <w:szCs w:val="30"/>
        </w:rPr>
        <w:t>组进行评审</w:t>
      </w:r>
      <w:r>
        <w:rPr>
          <w:rFonts w:hint="eastAsia" w:ascii="仿宋_GB2312" w:hAnsi="ˎ̥" w:eastAsia="仿宋_GB2312"/>
          <w:sz w:val="30"/>
          <w:szCs w:val="30"/>
        </w:rPr>
        <w:t>并</w:t>
      </w:r>
      <w:r>
        <w:rPr>
          <w:rFonts w:ascii="仿宋_GB2312" w:hAnsi="ˎ̥" w:eastAsia="仿宋_GB2312"/>
          <w:sz w:val="30"/>
          <w:szCs w:val="30"/>
        </w:rPr>
        <w:t>公布结果，</w:t>
      </w:r>
      <w:r>
        <w:rPr>
          <w:rFonts w:hint="eastAsia" w:ascii="仿宋_GB2312" w:hAnsi="ˎ̥" w:eastAsia="仿宋_GB2312"/>
          <w:sz w:val="30"/>
          <w:szCs w:val="30"/>
        </w:rPr>
        <w:t>给予每个获批的党支部分批下拨3000元专项经费支持。</w:t>
      </w:r>
    </w:p>
    <w:p>
      <w:pPr>
        <w:pStyle w:val="11"/>
        <w:widowControl w:val="0"/>
        <w:ind w:firstLine="717" w:firstLineChars="239"/>
        <w:jc w:val="both"/>
        <w:rPr>
          <w:rFonts w:ascii="仿宋_GB2312" w:hAnsi="ˎ̥" w:eastAsia="仿宋_GB2312"/>
          <w:sz w:val="30"/>
          <w:szCs w:val="30"/>
        </w:rPr>
      </w:pPr>
      <w:r>
        <w:rPr>
          <w:rFonts w:hint="eastAsia" w:ascii="仿宋_GB2312" w:hAnsi="ˎ̥" w:eastAsia="仿宋_GB2312"/>
          <w:sz w:val="30"/>
          <w:szCs w:val="30"/>
        </w:rPr>
        <w:t>申报获批后，各二级党组织要指导、督促申报支部继续推进创新示范支部建设工作，并于2023年10月底前</w:t>
      </w:r>
      <w:r>
        <w:rPr>
          <w:rFonts w:ascii="仿宋_GB2312" w:hAnsi="ˎ̥" w:eastAsia="仿宋_GB2312"/>
          <w:sz w:val="30"/>
          <w:szCs w:val="30"/>
        </w:rPr>
        <w:t>提交</w:t>
      </w:r>
      <w:r>
        <w:rPr>
          <w:rFonts w:hint="eastAsia" w:ascii="仿宋_GB2312" w:hAnsi="ˎ̥" w:eastAsia="仿宋_GB2312"/>
          <w:sz w:val="30"/>
          <w:szCs w:val="30"/>
        </w:rPr>
        <w:t>总结案例</w:t>
      </w:r>
      <w:r>
        <w:rPr>
          <w:rFonts w:ascii="仿宋_GB2312" w:hAnsi="ˎ̥" w:eastAsia="仿宋_GB2312"/>
          <w:sz w:val="30"/>
          <w:szCs w:val="30"/>
        </w:rPr>
        <w:t>（</w:t>
      </w:r>
      <w:r>
        <w:rPr>
          <w:rFonts w:hint="eastAsia" w:ascii="仿宋_GB2312" w:hAnsi="ˎ̥" w:eastAsia="仿宋_GB2312"/>
          <w:sz w:val="30"/>
          <w:szCs w:val="30"/>
        </w:rPr>
        <w:t>具体要求另行通知）</w:t>
      </w:r>
      <w:r>
        <w:rPr>
          <w:rFonts w:ascii="仿宋_GB2312" w:hAnsi="ˎ̥" w:eastAsia="仿宋_GB2312"/>
          <w:sz w:val="30"/>
          <w:szCs w:val="30"/>
        </w:rPr>
        <w:t>，由评审工作小组进行项目验收。</w:t>
      </w:r>
      <w:r>
        <w:rPr>
          <w:rFonts w:hint="eastAsia" w:ascii="仿宋_GB2312" w:hAnsi="ˎ̥" w:eastAsia="仿宋_GB2312"/>
          <w:sz w:val="30"/>
          <w:szCs w:val="30"/>
        </w:rPr>
        <w:t>经评审小组考核后，对完成既定目标、达到预期效果的支部予以验收通过，并将成果进行宣传推广。</w: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jc w:val="right"/>
        <w:rPr>
          <w:rFonts w:ascii="仿宋_GB2312" w:hAnsi="ˎ̥" w:eastAsia="仿宋_GB2312" w:cs="宋体"/>
          <w:kern w:val="0"/>
          <w:sz w:val="30"/>
          <w:szCs w:val="30"/>
        </w:rPr>
      </w:pPr>
      <w:r>
        <w:rPr>
          <w:rFonts w:hint="eastAsia" w:ascii="仿宋_GB2312" w:hAnsi="ˎ̥" w:eastAsia="仿宋_GB2312" w:cs="宋体"/>
          <w:kern w:val="0"/>
          <w:sz w:val="30"/>
          <w:szCs w:val="30"/>
        </w:rPr>
        <w:t>上海电力大学党委组织部</w:t>
      </w:r>
    </w:p>
    <w:p>
      <w:pPr>
        <w:wordWrap w:val="0"/>
        <w:jc w:val="right"/>
        <w:rPr>
          <w:rFonts w:ascii="仿宋_GB2312" w:hAnsi="ˎ̥" w:eastAsia="仿宋_GB2312" w:cs="宋体"/>
          <w:kern w:val="0"/>
          <w:sz w:val="30"/>
          <w:szCs w:val="30"/>
        </w:rPr>
      </w:pPr>
      <w:r>
        <w:rPr>
          <w:rFonts w:hint="eastAsia" w:ascii="仿宋_GB2312" w:hAnsi="ˎ̥" w:eastAsia="仿宋_GB2312" w:cs="宋体"/>
          <w:kern w:val="0"/>
          <w:sz w:val="30"/>
          <w:szCs w:val="30"/>
        </w:rPr>
        <w:t>2022年9月</w:t>
      </w:r>
      <w:r>
        <w:rPr>
          <w:rFonts w:hint="eastAsia" w:ascii="仿宋_GB2312" w:hAnsi="ˎ̥" w:eastAsia="仿宋_GB2312" w:cs="宋体"/>
          <w:kern w:val="0"/>
          <w:sz w:val="30"/>
          <w:szCs w:val="30"/>
          <w:lang w:val="en-US" w:eastAsia="zh-CN"/>
        </w:rPr>
        <w:t>27</w:t>
      </w:r>
      <w:r>
        <w:rPr>
          <w:rFonts w:hint="eastAsia" w:ascii="仿宋_GB2312" w:hAnsi="ˎ̥" w:eastAsia="仿宋_GB2312" w:cs="宋体"/>
          <w:kern w:val="0"/>
          <w:sz w:val="30"/>
          <w:szCs w:val="30"/>
        </w:rPr>
        <w:t xml:space="preserve">日 </w:t>
      </w:r>
    </w:p>
    <w:p>
      <w:pPr>
        <w:pStyle w:val="11"/>
        <w:widowControl w:val="0"/>
        <w:jc w:val="both"/>
      </w:pPr>
      <w:r>
        <w:br w:type="page"/>
      </w:r>
    </w:p>
    <w:p>
      <w:pPr>
        <w:spacing w:line="360" w:lineRule="auto"/>
        <w:jc w:val="center"/>
        <w:rPr>
          <w:rFonts w:ascii="黑体" w:hAnsi="宋体" w:eastAsia="黑体"/>
          <w:sz w:val="30"/>
          <w:szCs w:val="30"/>
        </w:rPr>
      </w:pPr>
      <w:r>
        <w:rPr>
          <w:rFonts w:hint="eastAsia" w:ascii="黑体" w:hAnsi="宋体" w:eastAsia="黑体"/>
          <w:sz w:val="30"/>
          <w:szCs w:val="30"/>
        </w:rPr>
        <w:t>上海电力大学创新示范党支部申报表</w:t>
      </w:r>
    </w:p>
    <w:p>
      <w:pPr>
        <w:ind w:firstLine="4560" w:firstLineChars="1900"/>
        <w:rPr>
          <w:sz w:val="24"/>
        </w:rPr>
      </w:pPr>
      <w:r>
        <w:rPr>
          <w:rFonts w:hint="eastAsia"/>
          <w:sz w:val="24"/>
        </w:rPr>
        <w:t>填表时间：          年   月   日</w:t>
      </w:r>
    </w:p>
    <w:tbl>
      <w:tblPr>
        <w:tblStyle w:val="12"/>
        <w:tblW w:w="9000" w:type="dxa"/>
        <w:tblInd w:w="-345" w:type="dxa"/>
        <w:tblLayout w:type="fixed"/>
        <w:tblCellMar>
          <w:top w:w="0" w:type="dxa"/>
          <w:left w:w="0" w:type="dxa"/>
          <w:bottom w:w="0" w:type="dxa"/>
          <w:right w:w="0" w:type="dxa"/>
        </w:tblCellMar>
      </w:tblPr>
      <w:tblGrid>
        <w:gridCol w:w="1620"/>
        <w:gridCol w:w="540"/>
        <w:gridCol w:w="2880"/>
        <w:gridCol w:w="1800"/>
        <w:gridCol w:w="2160"/>
      </w:tblGrid>
      <w:tr>
        <w:tblPrEx>
          <w:tblCellMar>
            <w:top w:w="0" w:type="dxa"/>
            <w:left w:w="0" w:type="dxa"/>
            <w:bottom w:w="0" w:type="dxa"/>
            <w:right w:w="0" w:type="dxa"/>
          </w:tblCellMar>
        </w:tblPrEx>
        <w:trPr>
          <w:trHeight w:val="585" w:hRule="atLeast"/>
        </w:trPr>
        <w:tc>
          <w:tcPr>
            <w:tcW w:w="2160" w:type="dxa"/>
            <w:gridSpan w:val="2"/>
            <w:tcBorders>
              <w:top w:val="single" w:color="auto" w:sz="12" w:space="0"/>
              <w:left w:val="single" w:color="auto" w:sz="12" w:space="0"/>
              <w:bottom w:val="single" w:color="auto" w:sz="8" w:space="0"/>
              <w:right w:val="single" w:color="auto" w:sz="8" w:space="0"/>
            </w:tcBorders>
            <w:vAlign w:val="center"/>
          </w:tcPr>
          <w:p>
            <w:pPr>
              <w:autoSpaceDE w:val="0"/>
              <w:autoSpaceDN w:val="0"/>
              <w:jc w:val="center"/>
              <w:rPr>
                <w:rFonts w:ascii="宋体" w:hAnsi="宋体"/>
                <w:b/>
                <w:sz w:val="24"/>
              </w:rPr>
            </w:pPr>
            <w:r>
              <w:rPr>
                <w:rFonts w:hint="eastAsia" w:ascii="宋体" w:hAnsi="宋体"/>
                <w:b/>
                <w:sz w:val="24"/>
              </w:rPr>
              <w:t>申报党支部名称</w:t>
            </w:r>
          </w:p>
        </w:tc>
        <w:tc>
          <w:tcPr>
            <w:tcW w:w="6840" w:type="dxa"/>
            <w:gridSpan w:val="3"/>
            <w:tcBorders>
              <w:top w:val="single" w:color="auto" w:sz="12" w:space="0"/>
              <w:left w:val="single" w:color="auto" w:sz="8" w:space="0"/>
              <w:bottom w:val="single" w:color="auto" w:sz="8" w:space="0"/>
              <w:right w:val="single" w:color="auto" w:sz="12" w:space="0"/>
            </w:tcBorders>
          </w:tcPr>
          <w:p>
            <w:pPr>
              <w:autoSpaceDE w:val="0"/>
              <w:autoSpaceDN w:val="0"/>
              <w:rPr>
                <w:rFonts w:ascii="宋体" w:hAnsi="宋体"/>
                <w:b/>
                <w:sz w:val="24"/>
              </w:rPr>
            </w:pPr>
          </w:p>
        </w:tc>
      </w:tr>
      <w:tr>
        <w:tblPrEx>
          <w:tblCellMar>
            <w:top w:w="0" w:type="dxa"/>
            <w:left w:w="0" w:type="dxa"/>
            <w:bottom w:w="0" w:type="dxa"/>
            <w:right w:w="0" w:type="dxa"/>
          </w:tblCellMar>
        </w:tblPrEx>
        <w:trPr>
          <w:trHeight w:val="492" w:hRule="atLeast"/>
        </w:trPr>
        <w:tc>
          <w:tcPr>
            <w:tcW w:w="2160" w:type="dxa"/>
            <w:gridSpan w:val="2"/>
            <w:tcBorders>
              <w:top w:val="single" w:color="auto" w:sz="8" w:space="0"/>
              <w:left w:val="single" w:color="auto" w:sz="12" w:space="0"/>
              <w:bottom w:val="single" w:color="auto" w:sz="8" w:space="0"/>
              <w:right w:val="single" w:color="auto" w:sz="4" w:space="0"/>
            </w:tcBorders>
            <w:vAlign w:val="center"/>
          </w:tcPr>
          <w:p>
            <w:pPr>
              <w:autoSpaceDE w:val="0"/>
              <w:autoSpaceDN w:val="0"/>
              <w:jc w:val="center"/>
              <w:rPr>
                <w:rFonts w:ascii="宋体" w:hAnsi="宋体"/>
                <w:b/>
                <w:sz w:val="24"/>
              </w:rPr>
            </w:pPr>
            <w:r>
              <w:rPr>
                <w:rFonts w:hint="eastAsia" w:ascii="宋体" w:hAnsi="宋体"/>
                <w:b/>
                <w:sz w:val="24"/>
              </w:rPr>
              <w:t>支部书记姓名</w:t>
            </w:r>
          </w:p>
        </w:tc>
        <w:tc>
          <w:tcPr>
            <w:tcW w:w="2880" w:type="dxa"/>
            <w:tcBorders>
              <w:top w:val="single" w:color="auto" w:sz="8" w:space="0"/>
              <w:left w:val="single" w:color="auto" w:sz="4" w:space="0"/>
              <w:bottom w:val="single" w:color="auto" w:sz="8" w:space="0"/>
              <w:right w:val="single" w:color="auto" w:sz="8" w:space="0"/>
            </w:tcBorders>
            <w:vAlign w:val="center"/>
          </w:tcPr>
          <w:p>
            <w:pPr>
              <w:autoSpaceDE w:val="0"/>
              <w:autoSpaceDN w:val="0"/>
              <w:rPr>
                <w:rFonts w:ascii="宋体" w:hAnsi="宋体"/>
                <w:b/>
                <w:sz w:val="24"/>
              </w:rPr>
            </w:pPr>
          </w:p>
        </w:tc>
        <w:tc>
          <w:tcPr>
            <w:tcW w:w="1800" w:type="dxa"/>
            <w:tcBorders>
              <w:top w:val="single" w:color="auto" w:sz="8" w:space="0"/>
              <w:left w:val="single" w:color="auto" w:sz="8" w:space="0"/>
              <w:bottom w:val="single" w:color="auto" w:sz="8" w:space="0"/>
              <w:right w:val="single" w:color="auto" w:sz="8" w:space="0"/>
            </w:tcBorders>
            <w:vAlign w:val="center"/>
          </w:tcPr>
          <w:p>
            <w:pPr>
              <w:autoSpaceDE w:val="0"/>
              <w:autoSpaceDN w:val="0"/>
              <w:jc w:val="center"/>
              <w:rPr>
                <w:rFonts w:ascii="宋体" w:hAnsi="宋体"/>
                <w:b/>
                <w:sz w:val="24"/>
              </w:rPr>
            </w:pPr>
            <w:r>
              <w:rPr>
                <w:rFonts w:hint="eastAsia" w:ascii="宋体" w:hAnsi="宋体"/>
                <w:b/>
                <w:sz w:val="24"/>
              </w:rPr>
              <w:t>联系方式</w:t>
            </w:r>
          </w:p>
        </w:tc>
        <w:tc>
          <w:tcPr>
            <w:tcW w:w="2160" w:type="dxa"/>
            <w:tcBorders>
              <w:top w:val="single" w:color="auto" w:sz="8" w:space="0"/>
              <w:left w:val="single" w:color="auto" w:sz="8" w:space="0"/>
              <w:bottom w:val="single" w:color="auto" w:sz="8" w:space="0"/>
              <w:right w:val="single" w:color="auto" w:sz="12" w:space="0"/>
            </w:tcBorders>
            <w:vAlign w:val="center"/>
          </w:tcPr>
          <w:p>
            <w:pPr>
              <w:autoSpaceDE w:val="0"/>
              <w:autoSpaceDN w:val="0"/>
              <w:rPr>
                <w:rFonts w:ascii="宋体" w:hAnsi="宋体"/>
                <w:b/>
                <w:sz w:val="24"/>
              </w:rPr>
            </w:pPr>
          </w:p>
        </w:tc>
      </w:tr>
      <w:tr>
        <w:tblPrEx>
          <w:tblCellMar>
            <w:top w:w="0" w:type="dxa"/>
            <w:left w:w="0" w:type="dxa"/>
            <w:bottom w:w="0" w:type="dxa"/>
            <w:right w:w="0" w:type="dxa"/>
          </w:tblCellMar>
        </w:tblPrEx>
        <w:trPr>
          <w:trHeight w:val="517" w:hRule="atLeast"/>
        </w:trPr>
        <w:tc>
          <w:tcPr>
            <w:tcW w:w="2160" w:type="dxa"/>
            <w:gridSpan w:val="2"/>
            <w:tcBorders>
              <w:top w:val="single" w:color="auto" w:sz="8" w:space="0"/>
              <w:left w:val="single" w:color="auto" w:sz="12" w:space="0"/>
              <w:bottom w:val="single" w:color="auto" w:sz="8" w:space="0"/>
              <w:right w:val="single" w:color="auto" w:sz="4" w:space="0"/>
            </w:tcBorders>
            <w:vAlign w:val="center"/>
          </w:tcPr>
          <w:p>
            <w:pPr>
              <w:autoSpaceDE w:val="0"/>
              <w:autoSpaceDN w:val="0"/>
              <w:jc w:val="center"/>
              <w:rPr>
                <w:rFonts w:ascii="宋体" w:hAnsi="宋体"/>
                <w:b/>
                <w:sz w:val="24"/>
              </w:rPr>
            </w:pPr>
            <w:r>
              <w:rPr>
                <w:rFonts w:hint="eastAsia" w:ascii="宋体" w:hAnsi="宋体"/>
                <w:b/>
                <w:sz w:val="24"/>
              </w:rPr>
              <w:t>申报类别</w:t>
            </w:r>
          </w:p>
        </w:tc>
        <w:tc>
          <w:tcPr>
            <w:tcW w:w="6840" w:type="dxa"/>
            <w:gridSpan w:val="3"/>
            <w:tcBorders>
              <w:top w:val="single" w:color="auto" w:sz="8" w:space="0"/>
              <w:left w:val="single" w:color="auto" w:sz="4" w:space="0"/>
              <w:bottom w:val="single" w:color="auto" w:sz="8" w:space="0"/>
              <w:right w:val="single" w:color="auto" w:sz="12" w:space="0"/>
            </w:tcBorders>
            <w:vAlign w:val="center"/>
          </w:tcPr>
          <w:p>
            <w:pPr>
              <w:autoSpaceDE w:val="0"/>
              <w:autoSpaceDN w:val="0"/>
              <w:rPr>
                <w:rFonts w:ascii="宋体" w:hAnsi="宋体"/>
                <w:b/>
                <w:sz w:val="24"/>
              </w:rPr>
            </w:pPr>
            <w:r>
              <w:rPr>
                <w:rFonts w:hint="eastAsia" w:ascii="宋体" w:hAnsi="宋体"/>
                <w:b/>
                <w:sz w:val="24"/>
              </w:rPr>
              <w:t>□支部</w:t>
            </w:r>
            <w:r>
              <w:rPr>
                <w:rFonts w:ascii="宋体" w:hAnsi="宋体"/>
                <w:b/>
                <w:sz w:val="24"/>
              </w:rPr>
              <w:t>工作模式创新</w:t>
            </w:r>
            <w:r>
              <w:rPr>
                <w:rFonts w:hint="eastAsia" w:ascii="宋体" w:hAnsi="宋体"/>
                <w:b/>
                <w:sz w:val="24"/>
              </w:rPr>
              <w:t xml:space="preserve">    □骨干队伍建设创新</w:t>
            </w:r>
          </w:p>
          <w:p>
            <w:pPr>
              <w:autoSpaceDE w:val="0"/>
              <w:autoSpaceDN w:val="0"/>
              <w:rPr>
                <w:rFonts w:ascii="宋体" w:hAnsi="宋体"/>
                <w:b/>
                <w:sz w:val="24"/>
              </w:rPr>
            </w:pPr>
            <w:r>
              <w:rPr>
                <w:rFonts w:hint="eastAsia" w:ascii="宋体" w:hAnsi="宋体"/>
                <w:b/>
                <w:sz w:val="24"/>
              </w:rPr>
              <w:t>□平台阵地建设创新    □支部活动载体创新</w:t>
            </w:r>
          </w:p>
          <w:p>
            <w:pPr>
              <w:autoSpaceDE w:val="0"/>
              <w:autoSpaceDN w:val="0"/>
              <w:rPr>
                <w:rFonts w:ascii="宋体" w:hAnsi="宋体"/>
                <w:b/>
                <w:sz w:val="24"/>
              </w:rPr>
            </w:pPr>
            <w:r>
              <w:rPr>
                <w:rFonts w:hint="eastAsia" w:ascii="宋体" w:hAnsi="宋体"/>
                <w:b/>
                <w:sz w:val="24"/>
              </w:rPr>
              <w:t>□制度机制保障创新    □其他________________________</w:t>
            </w:r>
          </w:p>
        </w:tc>
      </w:tr>
      <w:tr>
        <w:tblPrEx>
          <w:tblCellMar>
            <w:top w:w="0" w:type="dxa"/>
            <w:left w:w="0" w:type="dxa"/>
            <w:bottom w:w="0" w:type="dxa"/>
            <w:right w:w="0" w:type="dxa"/>
          </w:tblCellMar>
        </w:tblPrEx>
        <w:trPr>
          <w:trHeight w:val="4439" w:hRule="atLeast"/>
        </w:trPr>
        <w:tc>
          <w:tcPr>
            <w:tcW w:w="9000" w:type="dxa"/>
            <w:gridSpan w:val="5"/>
            <w:tcBorders>
              <w:top w:val="single" w:color="auto" w:sz="12" w:space="0"/>
              <w:left w:val="single" w:color="auto" w:sz="12" w:space="0"/>
              <w:bottom w:val="single" w:color="auto" w:sz="12" w:space="0"/>
              <w:right w:val="single" w:color="auto" w:sz="12" w:space="0"/>
            </w:tcBorders>
          </w:tcPr>
          <w:p>
            <w:pPr>
              <w:autoSpaceDE w:val="0"/>
              <w:autoSpaceDN w:val="0"/>
              <w:ind w:firstLine="420" w:firstLineChars="200"/>
              <w:rPr>
                <w:rFonts w:ascii="宋体"/>
                <w:kern w:val="0"/>
                <w:szCs w:val="18"/>
              </w:rPr>
            </w:pPr>
            <w:r>
              <w:rPr>
                <w:rFonts w:hint="eastAsia" w:ascii="宋体"/>
                <w:color w:val="000000"/>
                <w:kern w:val="0"/>
                <w:szCs w:val="18"/>
              </w:rPr>
              <w:t>内容简介（300字左右</w:t>
            </w:r>
            <w:r>
              <w:rPr>
                <w:rFonts w:hint="eastAsia" w:ascii="宋体"/>
                <w:kern w:val="0"/>
                <w:szCs w:val="18"/>
              </w:rPr>
              <w:t>，建设方案及预期成效）</w:t>
            </w:r>
          </w:p>
          <w:p>
            <w:pPr>
              <w:pStyle w:val="2"/>
              <w:ind w:firstLine="640"/>
            </w:pPr>
          </w:p>
        </w:tc>
      </w:tr>
      <w:tr>
        <w:tblPrEx>
          <w:tblCellMar>
            <w:top w:w="0" w:type="dxa"/>
            <w:left w:w="0" w:type="dxa"/>
            <w:bottom w:w="0" w:type="dxa"/>
            <w:right w:w="0" w:type="dxa"/>
          </w:tblCellMar>
        </w:tblPrEx>
        <w:trPr>
          <w:trHeight w:val="1683" w:hRule="atLeast"/>
        </w:trPr>
        <w:tc>
          <w:tcPr>
            <w:tcW w:w="1620" w:type="dxa"/>
            <w:tcBorders>
              <w:top w:val="single" w:color="auto" w:sz="12" w:space="0"/>
              <w:left w:val="single" w:color="auto" w:sz="12" w:space="0"/>
              <w:bottom w:val="single" w:color="auto" w:sz="4" w:space="0"/>
              <w:right w:val="single" w:color="auto" w:sz="8" w:space="0"/>
            </w:tcBorders>
            <w:vAlign w:val="center"/>
          </w:tcPr>
          <w:p>
            <w:pPr>
              <w:autoSpaceDE w:val="0"/>
              <w:autoSpaceDN w:val="0"/>
              <w:jc w:val="center"/>
              <w:rPr>
                <w:rFonts w:ascii="宋体"/>
                <w:b/>
                <w:color w:val="000000"/>
                <w:kern w:val="0"/>
                <w:sz w:val="24"/>
              </w:rPr>
            </w:pPr>
            <w:r>
              <w:rPr>
                <w:rFonts w:hint="eastAsia" w:ascii="宋体"/>
                <w:b/>
                <w:color w:val="000000"/>
                <w:kern w:val="0"/>
                <w:sz w:val="24"/>
              </w:rPr>
              <w:t>二级党组织</w:t>
            </w:r>
          </w:p>
          <w:p>
            <w:pPr>
              <w:autoSpaceDE w:val="0"/>
              <w:autoSpaceDN w:val="0"/>
              <w:jc w:val="center"/>
              <w:rPr>
                <w:rFonts w:ascii="宋体"/>
                <w:color w:val="000000"/>
                <w:kern w:val="0"/>
                <w:sz w:val="24"/>
              </w:rPr>
            </w:pPr>
            <w:r>
              <w:rPr>
                <w:rFonts w:hint="eastAsia" w:ascii="宋体"/>
                <w:b/>
                <w:color w:val="000000"/>
                <w:kern w:val="0"/>
                <w:sz w:val="24"/>
              </w:rPr>
              <w:t>意见</w:t>
            </w:r>
          </w:p>
        </w:tc>
        <w:tc>
          <w:tcPr>
            <w:tcW w:w="7380" w:type="dxa"/>
            <w:gridSpan w:val="4"/>
            <w:tcBorders>
              <w:top w:val="single" w:color="auto" w:sz="12" w:space="0"/>
              <w:left w:val="single" w:color="auto" w:sz="8" w:space="0"/>
              <w:bottom w:val="single" w:color="auto" w:sz="4" w:space="0"/>
              <w:right w:val="single" w:color="auto" w:sz="12" w:space="0"/>
            </w:tcBorders>
            <w:vAlign w:val="center"/>
          </w:tcPr>
          <w:p>
            <w:pPr>
              <w:autoSpaceDE w:val="0"/>
              <w:autoSpaceDN w:val="0"/>
              <w:ind w:right="720" w:firstLine="4320" w:firstLineChars="1800"/>
              <w:rPr>
                <w:rFonts w:ascii="宋体"/>
                <w:color w:val="000000"/>
                <w:kern w:val="0"/>
                <w:sz w:val="24"/>
              </w:rPr>
            </w:pPr>
          </w:p>
          <w:p>
            <w:pPr>
              <w:autoSpaceDE w:val="0"/>
              <w:autoSpaceDN w:val="0"/>
              <w:ind w:right="720" w:firstLine="4320" w:firstLineChars="1800"/>
              <w:rPr>
                <w:rFonts w:ascii="宋体"/>
                <w:color w:val="000000"/>
                <w:kern w:val="0"/>
                <w:sz w:val="24"/>
              </w:rPr>
            </w:pPr>
          </w:p>
          <w:p>
            <w:pPr>
              <w:pStyle w:val="2"/>
              <w:ind w:firstLine="640"/>
            </w:pPr>
          </w:p>
          <w:p>
            <w:pPr>
              <w:autoSpaceDE w:val="0"/>
              <w:autoSpaceDN w:val="0"/>
              <w:ind w:right="720" w:firstLine="2760" w:firstLineChars="1150"/>
              <w:rPr>
                <w:rFonts w:ascii="宋体"/>
                <w:color w:val="000000"/>
                <w:kern w:val="0"/>
                <w:sz w:val="24"/>
              </w:rPr>
            </w:pPr>
            <w:r>
              <w:rPr>
                <w:rFonts w:hint="eastAsia" w:ascii="宋体"/>
                <w:color w:val="000000"/>
                <w:kern w:val="0"/>
                <w:sz w:val="24"/>
              </w:rPr>
              <w:t>单位盖章    单位负责人签字</w:t>
            </w:r>
          </w:p>
          <w:p>
            <w:pPr>
              <w:autoSpaceDE w:val="0"/>
              <w:autoSpaceDN w:val="0"/>
              <w:ind w:right="720" w:firstLine="4320" w:firstLineChars="1800"/>
              <w:rPr>
                <w:rFonts w:ascii="宋体"/>
                <w:color w:val="000000"/>
                <w:kern w:val="0"/>
                <w:sz w:val="24"/>
              </w:rPr>
            </w:pPr>
            <w:r>
              <w:rPr>
                <w:rFonts w:hint="eastAsia" w:ascii="宋体"/>
                <w:color w:val="000000"/>
                <w:kern w:val="0"/>
                <w:sz w:val="24"/>
              </w:rPr>
              <w:t xml:space="preserve">       年   月   日</w:t>
            </w:r>
          </w:p>
        </w:tc>
      </w:tr>
      <w:tr>
        <w:tblPrEx>
          <w:tblCellMar>
            <w:top w:w="0" w:type="dxa"/>
            <w:left w:w="0" w:type="dxa"/>
            <w:bottom w:w="0" w:type="dxa"/>
            <w:right w:w="0" w:type="dxa"/>
          </w:tblCellMar>
        </w:tblPrEx>
        <w:trPr>
          <w:trHeight w:val="70" w:hRule="atLeast"/>
        </w:trPr>
        <w:tc>
          <w:tcPr>
            <w:tcW w:w="1620" w:type="dxa"/>
            <w:tcBorders>
              <w:top w:val="single" w:color="auto" w:sz="4" w:space="0"/>
              <w:left w:val="single" w:color="auto" w:sz="12" w:space="0"/>
              <w:bottom w:val="single" w:color="auto" w:sz="12" w:space="0"/>
              <w:right w:val="single" w:color="auto" w:sz="8" w:space="0"/>
            </w:tcBorders>
            <w:vAlign w:val="center"/>
          </w:tcPr>
          <w:p>
            <w:pPr>
              <w:autoSpaceDE w:val="0"/>
              <w:autoSpaceDN w:val="0"/>
              <w:rPr>
                <w:rFonts w:ascii="宋体"/>
                <w:b/>
                <w:color w:val="000000"/>
                <w:kern w:val="0"/>
                <w:sz w:val="24"/>
              </w:rPr>
            </w:pPr>
            <w:r>
              <w:rPr>
                <w:rFonts w:hint="eastAsia" w:ascii="宋体"/>
                <w:b/>
                <w:color w:val="000000"/>
                <w:kern w:val="0"/>
                <w:sz w:val="24"/>
              </w:rPr>
              <w:t>校党委组织部</w:t>
            </w:r>
          </w:p>
          <w:p>
            <w:pPr>
              <w:autoSpaceDE w:val="0"/>
              <w:autoSpaceDN w:val="0"/>
              <w:rPr>
                <w:rFonts w:ascii="宋体"/>
                <w:color w:val="000000"/>
                <w:kern w:val="0"/>
                <w:sz w:val="24"/>
              </w:rPr>
            </w:pPr>
            <w:r>
              <w:rPr>
                <w:rFonts w:hint="eastAsia" w:ascii="宋体"/>
                <w:b/>
                <w:color w:val="000000"/>
                <w:kern w:val="0"/>
                <w:sz w:val="24"/>
              </w:rPr>
              <w:t>组织评审意见</w:t>
            </w:r>
          </w:p>
        </w:tc>
        <w:tc>
          <w:tcPr>
            <w:tcW w:w="7380" w:type="dxa"/>
            <w:gridSpan w:val="4"/>
            <w:tcBorders>
              <w:top w:val="single" w:color="auto" w:sz="4" w:space="0"/>
              <w:left w:val="single" w:color="auto" w:sz="8" w:space="0"/>
              <w:bottom w:val="single" w:color="auto" w:sz="12" w:space="0"/>
              <w:right w:val="single" w:color="auto" w:sz="12" w:space="0"/>
            </w:tcBorders>
            <w:vAlign w:val="center"/>
          </w:tcPr>
          <w:p>
            <w:pPr>
              <w:autoSpaceDE w:val="0"/>
              <w:autoSpaceDN w:val="0"/>
              <w:ind w:right="720"/>
              <w:rPr>
                <w:rFonts w:ascii="宋体"/>
                <w:color w:val="000000"/>
                <w:kern w:val="0"/>
                <w:sz w:val="24"/>
              </w:rPr>
            </w:pPr>
          </w:p>
          <w:p>
            <w:pPr>
              <w:pStyle w:val="2"/>
              <w:ind w:firstLine="640"/>
            </w:pPr>
          </w:p>
          <w:p>
            <w:pPr>
              <w:autoSpaceDE w:val="0"/>
              <w:autoSpaceDN w:val="0"/>
              <w:ind w:right="720"/>
              <w:rPr>
                <w:rFonts w:ascii="宋体"/>
                <w:color w:val="000000"/>
                <w:kern w:val="0"/>
                <w:sz w:val="24"/>
              </w:rPr>
            </w:pPr>
          </w:p>
          <w:p>
            <w:pPr>
              <w:autoSpaceDE w:val="0"/>
              <w:autoSpaceDN w:val="0"/>
              <w:ind w:right="720"/>
              <w:rPr>
                <w:rFonts w:ascii="宋体"/>
                <w:color w:val="000000"/>
                <w:kern w:val="0"/>
                <w:sz w:val="24"/>
              </w:rPr>
            </w:pPr>
          </w:p>
          <w:p>
            <w:pPr>
              <w:autoSpaceDE w:val="0"/>
              <w:autoSpaceDN w:val="0"/>
              <w:ind w:right="720"/>
              <w:rPr>
                <w:rFonts w:ascii="宋体"/>
                <w:color w:val="000000"/>
                <w:kern w:val="0"/>
                <w:sz w:val="24"/>
              </w:rPr>
            </w:pPr>
            <w:r>
              <w:rPr>
                <w:rFonts w:hint="eastAsia" w:ascii="宋体"/>
                <w:color w:val="000000"/>
                <w:kern w:val="0"/>
                <w:sz w:val="24"/>
              </w:rPr>
              <w:t xml:space="preserve">                                            党委组织部</w:t>
            </w:r>
          </w:p>
          <w:p>
            <w:pPr>
              <w:autoSpaceDE w:val="0"/>
              <w:autoSpaceDN w:val="0"/>
              <w:ind w:right="720"/>
              <w:rPr>
                <w:rFonts w:ascii="宋体"/>
                <w:color w:val="000000"/>
                <w:kern w:val="0"/>
                <w:sz w:val="24"/>
              </w:rPr>
            </w:pPr>
            <w:r>
              <w:rPr>
                <w:rFonts w:hint="eastAsia" w:ascii="宋体"/>
                <w:color w:val="000000"/>
                <w:kern w:val="0"/>
                <w:sz w:val="24"/>
              </w:rPr>
              <w:t xml:space="preserve">                                           年   月   日</w:t>
            </w:r>
          </w:p>
        </w:tc>
      </w:tr>
    </w:tbl>
    <w:p>
      <w:pPr>
        <w:widowControl/>
        <w:adjustRightInd w:val="0"/>
        <w:rPr>
          <w:rFonts w:ascii="仿宋_GB2312" w:eastAsia="仿宋_GB2312"/>
          <w:sz w:val="32"/>
          <w:szCs w:val="32"/>
        </w:rPr>
      </w:pPr>
      <w:r>
        <w:rPr>
          <w:rFonts w:hint="eastAsia"/>
        </w:rPr>
        <w:t>备注：请于10月20日前将此表电子文件发送到zuzhibu@shiep.edu.cn，纸质版交至图文中心1038党委组织部。</w:t>
      </w:r>
      <w:r>
        <w:rPr>
          <w:rFonts w:ascii="仿宋_GB2312" w:eastAsia="仿宋_GB2312"/>
          <w:sz w:val="32"/>
          <w:szCs w:val="32"/>
        </w:rPr>
        <w:br w:type="page"/>
      </w:r>
    </w:p>
    <w:p>
      <w:pPr>
        <w:spacing w:line="560" w:lineRule="exact"/>
        <w:jc w:val="left"/>
        <w:rPr>
          <w:rFonts w:ascii="仿宋_GB2312" w:eastAsia="仿宋_GB2312"/>
          <w:sz w:val="32"/>
          <w:szCs w:val="32"/>
        </w:rPr>
      </w:pPr>
      <w:r>
        <w:rPr>
          <w:rFonts w:hint="eastAsia" w:ascii="仿宋_GB2312" w:eastAsia="仿宋_GB2312"/>
          <w:sz w:val="32"/>
          <w:szCs w:val="32"/>
        </w:rPr>
        <w:t>附件6：</w:t>
      </w:r>
    </w:p>
    <w:p>
      <w:pPr>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创新示范党支部工作案例上报说明</w:t>
      </w:r>
    </w:p>
    <w:p>
      <w:pPr>
        <w:spacing w:line="600" w:lineRule="exact"/>
        <w:ind w:firstLine="643" w:firstLineChars="200"/>
        <w:rPr>
          <w:rFonts w:ascii="仿宋_GB2312" w:hAnsi="仿宋_GB2312" w:cs="仿宋_GB2312"/>
          <w:b/>
          <w:bCs/>
          <w:sz w:val="32"/>
          <w:szCs w:val="32"/>
        </w:rPr>
      </w:pP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整个案例2000</w:t>
      </w:r>
      <w:r>
        <w:rPr>
          <w:rFonts w:ascii="仿宋_GB2312" w:hAnsi="仿宋_GB2312" w:eastAsia="仿宋_GB2312" w:cs="仿宋_GB2312"/>
          <w:sz w:val="32"/>
          <w:szCs w:val="32"/>
        </w:rPr>
        <w:t>字</w:t>
      </w:r>
      <w:r>
        <w:rPr>
          <w:rFonts w:hint="eastAsia" w:ascii="仿宋_GB2312" w:hAnsi="仿宋_GB2312" w:eastAsia="仿宋_GB2312" w:cs="仿宋_GB2312"/>
          <w:sz w:val="32"/>
          <w:szCs w:val="32"/>
        </w:rPr>
        <w:t>左右，一般应包含引言、背景、做法、启示四个部分。要求逻辑清晰严密、内容客观翔实、表述准确凝练，做到“见人见事见细节”，具有可读性和感染力。同时提供3-5张电子照片（将照片插入文字文档对应位置，并配上文字说明），要求主题鲜明、形象生动、图像清晰。</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引言：</w:t>
      </w:r>
      <w:r>
        <w:rPr>
          <w:rFonts w:ascii="仿宋_GB2312" w:hAnsi="仿宋_GB2312" w:eastAsia="仿宋_GB2312" w:cs="仿宋_GB2312"/>
          <w:sz w:val="32"/>
          <w:szCs w:val="32"/>
        </w:rPr>
        <w:t>对案例作一个简明扼要的概括，点出关键词或核心举措。</w:t>
      </w:r>
      <w:r>
        <w:rPr>
          <w:rFonts w:hint="eastAsia" w:ascii="仿宋_GB2312" w:hAnsi="仿宋_GB2312" w:eastAsia="仿宋_GB2312" w:cs="仿宋_GB2312"/>
          <w:sz w:val="32"/>
          <w:szCs w:val="32"/>
        </w:rPr>
        <w:t>200</w:t>
      </w:r>
      <w:r>
        <w:rPr>
          <w:rFonts w:ascii="仿宋_GB2312" w:hAnsi="仿宋_GB2312" w:eastAsia="仿宋_GB2312" w:cs="仿宋_GB2312"/>
          <w:sz w:val="32"/>
          <w:szCs w:val="32"/>
        </w:rPr>
        <w:t>字左右。</w:t>
      </w:r>
    </w:p>
    <w:p>
      <w:pPr>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背景</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简要介绍案例</w:t>
      </w:r>
      <w:r>
        <w:rPr>
          <w:rFonts w:hint="eastAsia" w:ascii="仿宋_GB2312" w:hAnsi="仿宋_GB2312" w:eastAsia="仿宋_GB2312" w:cs="仿宋_GB2312"/>
          <w:sz w:val="32"/>
          <w:szCs w:val="32"/>
        </w:rPr>
        <w:t>所反映工作</w:t>
      </w:r>
      <w:r>
        <w:rPr>
          <w:rFonts w:ascii="仿宋_GB2312" w:hAnsi="仿宋_GB2312" w:eastAsia="仿宋_GB2312" w:cs="仿宋_GB2312"/>
          <w:sz w:val="32"/>
          <w:szCs w:val="32"/>
        </w:rPr>
        <w:t>针对的问题及其产生原因</w:t>
      </w:r>
      <w:r>
        <w:rPr>
          <w:rFonts w:hint="eastAsia" w:ascii="仿宋_GB2312" w:hAnsi="仿宋_GB2312" w:eastAsia="仿宋_GB2312" w:cs="仿宋_GB2312"/>
          <w:sz w:val="32"/>
          <w:szCs w:val="32"/>
        </w:rPr>
        <w:t>，所采取措施的</w:t>
      </w:r>
      <w:r>
        <w:rPr>
          <w:rFonts w:ascii="仿宋_GB2312" w:hAnsi="仿宋_GB2312" w:eastAsia="仿宋_GB2312" w:cs="仿宋_GB2312"/>
          <w:sz w:val="32"/>
          <w:szCs w:val="32"/>
        </w:rPr>
        <w:t>政策依据及预期目标等相关背景</w:t>
      </w:r>
      <w:r>
        <w:rPr>
          <w:rFonts w:hint="eastAsia" w:ascii="仿宋_GB2312" w:hAnsi="仿宋_GB2312" w:eastAsia="仿宋_GB2312" w:cs="仿宋_GB2312"/>
          <w:sz w:val="32"/>
          <w:szCs w:val="32"/>
        </w:rPr>
        <w:t>。300</w:t>
      </w:r>
      <w:r>
        <w:rPr>
          <w:rFonts w:ascii="仿宋_GB2312" w:hAnsi="仿宋_GB2312" w:eastAsia="仿宋_GB2312" w:cs="仿宋_GB2312"/>
          <w:sz w:val="32"/>
          <w:szCs w:val="32"/>
        </w:rPr>
        <w:t>字左右。</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做法：</w:t>
      </w:r>
      <w:r>
        <w:rPr>
          <w:rFonts w:ascii="仿宋_GB2312" w:hAnsi="仿宋_GB2312" w:eastAsia="仿宋_GB2312" w:cs="仿宋_GB2312"/>
          <w:sz w:val="32"/>
          <w:szCs w:val="32"/>
        </w:rPr>
        <w:t>重点介绍主要思路、具体做法、开展情况、所取得的成效、所解决的问题等，可适当穿插</w:t>
      </w:r>
      <w:r>
        <w:rPr>
          <w:rFonts w:hint="eastAsia" w:ascii="仿宋_GB2312" w:hAnsi="仿宋_GB2312" w:eastAsia="仿宋_GB2312" w:cs="仿宋_GB2312"/>
          <w:sz w:val="32"/>
          <w:szCs w:val="32"/>
        </w:rPr>
        <w:t>具体</w:t>
      </w:r>
      <w:r>
        <w:rPr>
          <w:rFonts w:ascii="仿宋_GB2312" w:hAnsi="仿宋_GB2312" w:eastAsia="仿宋_GB2312" w:cs="仿宋_GB2312"/>
          <w:sz w:val="32"/>
          <w:szCs w:val="32"/>
        </w:rPr>
        <w:t>事例。</w:t>
      </w:r>
      <w:r>
        <w:rPr>
          <w:rFonts w:hint="eastAsia" w:ascii="仿宋_GB2312" w:hAnsi="仿宋_GB2312" w:eastAsia="仿宋_GB2312" w:cs="仿宋_GB2312"/>
          <w:sz w:val="32"/>
          <w:szCs w:val="32"/>
        </w:rPr>
        <w:t>1000</w:t>
      </w:r>
      <w:r>
        <w:rPr>
          <w:rFonts w:ascii="仿宋_GB2312" w:hAnsi="仿宋_GB2312" w:eastAsia="仿宋_GB2312" w:cs="仿宋_GB2312"/>
          <w:sz w:val="32"/>
          <w:szCs w:val="32"/>
        </w:rPr>
        <w:t>字左右。</w:t>
      </w:r>
    </w:p>
    <w:p>
      <w:pPr>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启示</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重点分析案例本身的价值意义；开展工作或解决问题过程中</w:t>
      </w:r>
      <w:r>
        <w:rPr>
          <w:rFonts w:hint="eastAsia" w:ascii="仿宋_GB2312" w:hAnsi="仿宋_GB2312" w:eastAsia="仿宋_GB2312" w:cs="仿宋_GB2312"/>
          <w:sz w:val="32"/>
          <w:szCs w:val="32"/>
        </w:rPr>
        <w:t>的经验启示；应当继续改进的地方和建议；开展类似工作时值得借鉴学习的地方等。500字左右。</w:t>
      </w: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附参考案例：百年党史路 奋斗新征程 上海浦东新区创新打造党员教育“巴士课堂”</w:t>
      </w:r>
    </w:p>
    <w:p>
      <w:pPr>
        <w:spacing w:line="600" w:lineRule="exact"/>
        <w:ind w:firstLine="640" w:firstLineChars="200"/>
        <w:rPr>
          <w:rFonts w:ascii="仿宋_GB2312" w:hAnsi="仿宋_GB2312" w:eastAsia="仿宋_GB2312" w:cs="仿宋_GB2312"/>
          <w:sz w:val="32"/>
          <w:szCs w:val="32"/>
        </w:rPr>
        <w:sectPr>
          <w:pgSz w:w="11906" w:h="16838"/>
          <w:pgMar w:top="2098" w:right="1531" w:bottom="1984" w:left="1531" w:header="851" w:footer="992" w:gutter="0"/>
          <w:pgNumType w:fmt="numberInDash"/>
          <w:cols w:space="720" w:num="1"/>
          <w:docGrid w:type="lines" w:linePitch="312" w:charSpace="0"/>
        </w:sectPr>
      </w:pPr>
    </w:p>
    <w:p>
      <w:pPr>
        <w:adjustRightInd w:val="0"/>
        <w:snapToGrid w:val="0"/>
        <w:spacing w:line="55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百年党史路 奋斗新征程</w:t>
      </w:r>
    </w:p>
    <w:p>
      <w:pPr>
        <w:adjustRightInd w:val="0"/>
        <w:snapToGrid w:val="0"/>
        <w:spacing w:line="55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上海浦东新区创新打造党员教育“巴士课堂”</w:t>
      </w:r>
    </w:p>
    <w:p>
      <w:pPr>
        <w:adjustRightInd w:val="0"/>
        <w:snapToGrid w:val="0"/>
        <w:spacing w:line="550" w:lineRule="exact"/>
        <w:ind w:firstLine="880" w:firstLineChars="200"/>
        <w:rPr>
          <w:rFonts w:ascii="Times New Roman" w:hAnsi="Times New Roman" w:eastAsia="方正小标宋简体"/>
          <w:sz w:val="44"/>
          <w:szCs w:val="44"/>
        </w:rPr>
      </w:pPr>
    </w:p>
    <w:p>
      <w:pPr>
        <w:widowControl/>
        <w:adjustRightInd w:val="0"/>
        <w:snapToGrid w:val="0"/>
        <w:spacing w:line="550" w:lineRule="exact"/>
        <w:ind w:firstLine="643" w:firstLineChars="200"/>
        <w:rPr>
          <w:rFonts w:ascii="黑体" w:hAnsi="黑体" w:eastAsia="黑体" w:cs="黑体"/>
          <w:b/>
          <w:bCs/>
          <w:sz w:val="32"/>
          <w:szCs w:val="32"/>
        </w:rPr>
      </w:pPr>
      <w:r>
        <w:rPr>
          <w:rFonts w:hint="eastAsia" w:ascii="黑体" w:hAnsi="黑体" w:eastAsia="黑体" w:cs="黑体"/>
          <w:b/>
          <w:bCs/>
          <w:sz w:val="32"/>
          <w:szCs w:val="32"/>
        </w:rPr>
        <w:t>【引言】</w:t>
      </w:r>
    </w:p>
    <w:p>
      <w:pPr>
        <w:pStyle w:val="2"/>
        <w:spacing w:line="550" w:lineRule="exact"/>
        <w:ind w:firstLine="640"/>
        <w:rPr>
          <w:rFonts w:ascii="Times New Roman" w:hAnsi="Times New Roman" w:eastAsia="仿宋_GB2312"/>
          <w:szCs w:val="32"/>
        </w:rPr>
      </w:pPr>
      <w:r>
        <w:rPr>
          <w:rFonts w:hint="eastAsia" w:ascii="Times New Roman" w:hAnsi="Times New Roman" w:eastAsia="仿宋_GB2312"/>
          <w:szCs w:val="32"/>
        </w:rPr>
        <w:t>“中国共产党为什么诞生在上海？”“历史为什么选择了浦东？”……在讲解员的娓娓道来中，发生在上海的党史故事串联起来；随着巴士驶过外滩、穿梭陆家嘴，党领导下的浦东开发开放创业历程和巨大成就一一展现。在建党百年之际，上海浦东新区创新推出“巴士课堂”，围绕“百年党史在上海的精彩演绎”，将上海作为党的诞生地丰富的红色资源和浦东开发开放30年的实践资源“串点成线”，红色巴士从中共一大纪念馆出发，开往浦东开发开放30周年主题展，途经中共二大会址、共青团中央机关旧址（渔阳里）、外滩陈毅广场等红色地标，</w:t>
      </w:r>
      <w:r>
        <w:rPr>
          <w:rFonts w:hint="eastAsia" w:ascii="Times New Roman" w:hAnsi="Times New Roman" w:eastAsia="仿宋_GB2312"/>
          <w:szCs w:val="32"/>
          <w:lang w:val="zh-TW"/>
        </w:rPr>
        <w:t>将</w:t>
      </w:r>
      <w:r>
        <w:rPr>
          <w:rFonts w:hint="eastAsia" w:ascii="Times New Roman" w:hAnsi="Times New Roman" w:eastAsia="仿宋_GB2312"/>
          <w:szCs w:val="32"/>
        </w:rPr>
        <w:t>历史故事与现实场景相结合、车内讲授与下车打卡相结合、视频展示与互动问答相结合，打造出一堂跨越浦江两岸、贯穿百年历史的精品党课。</w:t>
      </w:r>
    </w:p>
    <w:p>
      <w:pPr>
        <w:pStyle w:val="2"/>
        <w:spacing w:line="550" w:lineRule="exact"/>
        <w:ind w:firstLine="643"/>
      </w:pPr>
      <w:r>
        <w:rPr>
          <w:rFonts w:hint="eastAsia" w:ascii="黑体" w:hAnsi="黑体" w:eastAsia="黑体" w:cs="黑体"/>
          <w:b/>
          <w:bCs/>
          <w:szCs w:val="32"/>
        </w:rPr>
        <w:t>【背景】</w:t>
      </w:r>
    </w:p>
    <w:p>
      <w:pPr>
        <w:pStyle w:val="10"/>
        <w:adjustRightInd w:val="0"/>
        <w:snapToGrid w:val="0"/>
        <w:spacing w:line="550" w:lineRule="exact"/>
        <w:ind w:firstLine="640"/>
        <w:rPr>
          <w:rFonts w:ascii="Times New Roman" w:hAnsi="Times New Roman" w:eastAsia="仿宋_GB2312"/>
          <w:szCs w:val="32"/>
        </w:rPr>
      </w:pPr>
      <w:r>
        <w:rPr>
          <w:rFonts w:hint="eastAsia" w:ascii="Times New Roman" w:hAnsi="Times New Roman" w:eastAsia="仿宋_GB2312"/>
          <w:sz w:val="32"/>
          <w:szCs w:val="32"/>
        </w:rPr>
        <w:t>习近平总书记在浦东开发开放30周年庆祝大会上深刻指出，上海是中国共产党诞生地，要传承红色基因、践行初心使命，奋力创造新时代新奇迹。上海浦东新区深入贯彻落实习近平总书记重要讲话精神，按照市委要求，在上海2020年率先开展的“四史”学习教育中，创新采用巴士形式串联浦东新区各个红色点位，精心打造《重走浦东开发开放之路》“四史巴士课堂”。2021年，为庆祝建党100周年，深入开展党史学习教育，浦东新区持续在用好红色资源、讲活党史故事上下工夫，将“巴士课堂”进行全新升级，聚焦弘扬伟大建党精神，拓展整合黄浦江两岸的红色资源，</w:t>
      </w:r>
      <w:r>
        <w:rPr>
          <w:rFonts w:ascii="Times New Roman" w:hAnsi="Times New Roman" w:eastAsia="仿宋_GB2312"/>
          <w:sz w:val="32"/>
          <w:szCs w:val="32"/>
          <w:lang w:val="zh-TW"/>
        </w:rPr>
        <w:t>全程</w:t>
      </w:r>
      <w:r>
        <w:rPr>
          <w:rFonts w:ascii="Times New Roman" w:hAnsi="Times New Roman" w:eastAsia="仿宋_GB2312"/>
          <w:kern w:val="0"/>
          <w:sz w:val="32"/>
          <w:szCs w:val="32"/>
        </w:rPr>
        <w:t>突出建党、建国、改革开放三大主题，</w:t>
      </w:r>
      <w:r>
        <w:rPr>
          <w:rFonts w:hint="eastAsia" w:ascii="Times New Roman" w:hAnsi="Times New Roman" w:eastAsia="仿宋_GB2312"/>
          <w:sz w:val="32"/>
          <w:szCs w:val="32"/>
        </w:rPr>
        <w:t>将新建成的中共一大会址纪念馆和新推出的浦东开发开放30周年主题展作为“巴士课堂”起始站，统筹工作力量，精心设计路线，研发精品课程，组建专业队伍，建立长效机制，通过</w:t>
      </w:r>
      <w:r>
        <w:rPr>
          <w:rFonts w:ascii="Times New Roman" w:hAnsi="Times New Roman" w:eastAsia="仿宋_GB2312"/>
          <w:sz w:val="32"/>
          <w:szCs w:val="32"/>
        </w:rPr>
        <w:t>一个个生动故事</w:t>
      </w:r>
      <w:r>
        <w:rPr>
          <w:rFonts w:hint="eastAsia" w:ascii="Times New Roman" w:hAnsi="Times New Roman" w:eastAsia="仿宋_GB2312"/>
          <w:sz w:val="32"/>
          <w:szCs w:val="32"/>
        </w:rPr>
        <w:t>串联身边场景，让广大党员身临其境感受</w:t>
      </w:r>
      <w:r>
        <w:rPr>
          <w:rFonts w:ascii="Times New Roman" w:hAnsi="Times New Roman" w:eastAsia="仿宋_GB2312"/>
          <w:sz w:val="32"/>
          <w:szCs w:val="32"/>
        </w:rPr>
        <w:t>中国共产党从建党的开天辟地、到新中国成立的改天换地、再到改革开放的翻天覆地的百年伟业</w:t>
      </w:r>
      <w:r>
        <w:rPr>
          <w:rFonts w:hint="eastAsia" w:ascii="Times New Roman" w:hAnsi="Times New Roman" w:eastAsia="仿宋_GB2312"/>
          <w:sz w:val="32"/>
          <w:szCs w:val="32"/>
        </w:rPr>
        <w:t>。“巴士课堂”</w:t>
      </w:r>
      <w:r>
        <w:rPr>
          <w:rFonts w:ascii="Times New Roman" w:hAnsi="Times New Roman" w:eastAsia="仿宋_GB2312"/>
          <w:kern w:val="0"/>
          <w:sz w:val="32"/>
          <w:szCs w:val="32"/>
        </w:rPr>
        <w:t>以扎实的内容、新颖的形式、</w:t>
      </w:r>
      <w:r>
        <w:rPr>
          <w:rFonts w:hint="eastAsia" w:ascii="Times New Roman" w:hAnsi="Times New Roman" w:eastAsia="仿宋_GB2312"/>
          <w:kern w:val="0"/>
          <w:sz w:val="32"/>
          <w:szCs w:val="32"/>
        </w:rPr>
        <w:t>专业的讲授、生动的场景打造了党史学习精品课程，</w:t>
      </w:r>
      <w:r>
        <w:rPr>
          <w:rFonts w:hint="eastAsia" w:ascii="Times New Roman" w:hAnsi="Times New Roman" w:eastAsia="仿宋_GB2312"/>
          <w:sz w:val="32"/>
          <w:szCs w:val="32"/>
        </w:rPr>
        <w:t>吸引着来自上海、长三角地区乃至全国的基层党组织和广大党员，成为党员学习教育的“浦东品牌”。</w:t>
      </w:r>
    </w:p>
    <w:p>
      <w:pPr>
        <w:overflowPunct w:val="0"/>
        <w:spacing w:line="550" w:lineRule="exact"/>
        <w:jc w:val="center"/>
      </w:pPr>
      <w:r>
        <w:rPr>
          <w:rFonts w:hint="eastAsia"/>
        </w:rPr>
        <w:drawing>
          <wp:anchor distT="0" distB="0" distL="114300" distR="114300" simplePos="0" relativeHeight="251660288" behindDoc="1" locked="0" layoutInCell="1" allowOverlap="1">
            <wp:simplePos x="0" y="0"/>
            <wp:positionH relativeFrom="column">
              <wp:posOffset>198755</wp:posOffset>
            </wp:positionH>
            <wp:positionV relativeFrom="paragraph">
              <wp:posOffset>87630</wp:posOffset>
            </wp:positionV>
            <wp:extent cx="5275580" cy="2949575"/>
            <wp:effectExtent l="0" t="0" r="7620" b="9525"/>
            <wp:wrapTight wrapText="bothSides">
              <wp:wrapPolygon>
                <wp:start x="0" y="0"/>
                <wp:lineTo x="0" y="21484"/>
                <wp:lineTo x="21527" y="21484"/>
                <wp:lineTo x="21527" y="0"/>
                <wp:lineTo x="0" y="0"/>
              </wp:wrapPolygon>
            </wp:wrapTight>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8" cstate="print"/>
                    <a:stretch>
                      <a:fillRect/>
                    </a:stretch>
                  </pic:blipFill>
                  <pic:spPr>
                    <a:xfrm>
                      <a:off x="0" y="0"/>
                      <a:ext cx="5275580" cy="2949575"/>
                    </a:xfrm>
                    <a:prstGeom prst="rect">
                      <a:avLst/>
                    </a:prstGeom>
                    <a:noFill/>
                    <a:ln>
                      <a:noFill/>
                    </a:ln>
                  </pic:spPr>
                </pic:pic>
              </a:graphicData>
            </a:graphic>
          </wp:anchor>
        </w:drawing>
      </w:r>
      <w:r>
        <w:rPr>
          <w:rFonts w:hint="eastAsia" w:ascii="楷体_GB2312" w:hAnsi="楷体_GB2312" w:eastAsia="楷体_GB2312" w:cs="楷体_GB2312"/>
          <w:sz w:val="32"/>
          <w:szCs w:val="32"/>
        </w:rPr>
        <w:t>（“百年党史路 奋斗新征程”巴士课堂路线图）</w:t>
      </w:r>
    </w:p>
    <w:p>
      <w:pPr>
        <w:adjustRightInd w:val="0"/>
        <w:snapToGrid w:val="0"/>
        <w:spacing w:line="550" w:lineRule="exact"/>
        <w:ind w:firstLine="643" w:firstLineChars="200"/>
        <w:rPr>
          <w:rFonts w:ascii="黑体" w:hAnsi="黑体" w:eastAsia="黑体" w:cs="黑体"/>
          <w:b/>
          <w:bCs/>
          <w:sz w:val="32"/>
          <w:szCs w:val="32"/>
        </w:rPr>
      </w:pPr>
      <w:r>
        <w:rPr>
          <w:rFonts w:hint="eastAsia" w:ascii="黑体" w:hAnsi="黑体" w:eastAsia="黑体" w:cs="黑体"/>
          <w:b/>
          <w:bCs/>
          <w:sz w:val="32"/>
          <w:szCs w:val="32"/>
        </w:rPr>
        <w:t>【做法】</w:t>
      </w:r>
    </w:p>
    <w:p>
      <w:pPr>
        <w:pStyle w:val="2"/>
        <w:spacing w:line="550" w:lineRule="exact"/>
        <w:ind w:firstLine="643"/>
      </w:pPr>
      <w:r>
        <w:rPr>
          <w:rFonts w:hint="eastAsia" w:ascii="楷体_GB2312" w:hAnsi="楷体_GB2312" w:eastAsia="楷体_GB2312" w:cs="楷体_GB2312"/>
          <w:b/>
          <w:szCs w:val="32"/>
        </w:rPr>
        <w:t>（一）聚焦百年党史，讲好浦东故事。</w:t>
      </w:r>
      <w:r>
        <w:rPr>
          <w:rFonts w:hint="eastAsia" w:ascii="Times New Roman" w:hAnsi="Times New Roman" w:eastAsia="仿宋_GB2312"/>
          <w:szCs w:val="32"/>
        </w:rPr>
        <w:t>浦东新区紧紧围绕学习贯彻习近平新时代中国特色社会主义思想，聚焦庆祝建党100周年，紧扣中央、市委党史学习教育部署要求，坚持围绕中心、服务大局，立足用伟大建党精神和浦东改革开放发展实践教育人、激励人、感召人，加强顶层设计，统筹谋划推进，区委组织部、区委宣传部、上海文广集团（SMG）东方财经浦东频道、中共一大纪念馆、浦东公交集团等单位协同配合，党史党建专家、党员教育业务骨干、基层党员等建言献策，反复打磨、深入研究，推出100分钟的课程，包括“中共一大开天辟地”“历史为什么选择上海”“中共二大建章立制”“中共四大强化组织”“没有硝烟的隐蔽战线”“解放大上海”“五星红旗在这里诞生”“建设新中国”“浦东开发开放”“一步跨过黄浦江”“从24米到632米的天际线”“奔跑吧，浦东”共12大板块，结合30分钟视频素材、40多个党史故事、180多页图文资料和近20000字的讲解，穿越百年历史、横跨浦江两岸、凸显浦东特色，成为上海党史学习教育具有代表性的一堂精品党课。</w:t>
      </w:r>
    </w:p>
    <w:p>
      <w:pPr>
        <w:pStyle w:val="10"/>
        <w:adjustRightInd w:val="0"/>
        <w:snapToGrid w:val="0"/>
        <w:spacing w:line="550" w:lineRule="exact"/>
        <w:ind w:firstLine="643"/>
      </w:pPr>
      <w:r>
        <w:rPr>
          <w:rFonts w:hint="eastAsia" w:ascii="楷体_GB2312" w:hAnsi="楷体_GB2312" w:eastAsia="楷体_GB2312" w:cs="楷体_GB2312"/>
          <w:b/>
          <w:sz w:val="32"/>
          <w:szCs w:val="32"/>
        </w:rPr>
        <w:t>（二）整合红色资源，精心“串珠成线”。</w:t>
      </w:r>
      <w:r>
        <w:rPr>
          <w:rFonts w:hint="eastAsia" w:ascii="Times New Roman" w:hAnsi="Times New Roman" w:eastAsia="仿宋_GB2312"/>
          <w:sz w:val="32"/>
          <w:szCs w:val="32"/>
        </w:rPr>
        <w:t>“巴士课堂”坚持用好各类红色资源，推动革命旧址遗迹、红色场馆等成为党史“教室”。</w:t>
      </w:r>
      <w:r>
        <w:rPr>
          <w:rFonts w:hint="eastAsia" w:ascii="Times New Roman" w:hAnsi="Times New Roman" w:eastAsia="仿宋_GB2312"/>
          <w:b/>
          <w:bCs/>
          <w:sz w:val="32"/>
          <w:szCs w:val="32"/>
        </w:rPr>
        <w:t>串联著名红色地标。</w:t>
      </w:r>
      <w:r>
        <w:rPr>
          <w:rFonts w:hint="eastAsia" w:ascii="Times New Roman" w:hAnsi="Times New Roman" w:eastAsia="仿宋_GB2312"/>
          <w:sz w:val="32"/>
          <w:szCs w:val="32"/>
        </w:rPr>
        <w:t>中共一大会址是中国共产党人的精神家园，标定着百年党史的伟大起点。“巴士课堂”将起点选在中共一大纪念馆，在党的启航之地开启党课旅程，意义非凡、感受深刻。“巴士课堂”还途径首部党章诞生地——中共二大会址纪</w:t>
      </w:r>
      <w:r>
        <w:rPr>
          <w:rFonts w:hint="eastAsia" w:eastAsia="宋体"/>
        </w:rPr>
        <w:drawing>
          <wp:anchor distT="0" distB="0" distL="114300" distR="114300" simplePos="0" relativeHeight="251661312" behindDoc="1" locked="0" layoutInCell="1" allowOverlap="1">
            <wp:simplePos x="0" y="0"/>
            <wp:positionH relativeFrom="column">
              <wp:posOffset>513715</wp:posOffset>
            </wp:positionH>
            <wp:positionV relativeFrom="paragraph">
              <wp:posOffset>4922520</wp:posOffset>
            </wp:positionV>
            <wp:extent cx="4879975" cy="3253105"/>
            <wp:effectExtent l="0" t="0" r="9525" b="10795"/>
            <wp:wrapTight wrapText="bothSides">
              <wp:wrapPolygon>
                <wp:start x="0" y="0"/>
                <wp:lineTo x="0" y="21503"/>
                <wp:lineTo x="21530" y="21503"/>
                <wp:lineTo x="21530" y="0"/>
                <wp:lineTo x="0" y="0"/>
              </wp:wrapPolygon>
            </wp:wrapTight>
            <wp:docPr id="2" name="图片 8" descr="微信图片_2022081613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微信图片_20220816134829"/>
                    <pic:cNvPicPr>
                      <a:picLocks noChangeAspect="1"/>
                    </pic:cNvPicPr>
                  </pic:nvPicPr>
                  <pic:blipFill>
                    <a:blip r:embed="rId9" cstate="print"/>
                    <a:stretch>
                      <a:fillRect/>
                    </a:stretch>
                  </pic:blipFill>
                  <pic:spPr>
                    <a:xfrm>
                      <a:off x="0" y="0"/>
                      <a:ext cx="4879975" cy="3253105"/>
                    </a:xfrm>
                    <a:prstGeom prst="rect">
                      <a:avLst/>
                    </a:prstGeom>
                    <a:noFill/>
                    <a:ln>
                      <a:noFill/>
                    </a:ln>
                  </pic:spPr>
                </pic:pic>
              </a:graphicData>
            </a:graphic>
          </wp:anchor>
        </w:drawing>
      </w:r>
      <w:r>
        <w:rPr>
          <w:rFonts w:hint="eastAsia" w:ascii="Times New Roman" w:hAnsi="Times New Roman" w:eastAsia="仿宋_GB2312"/>
          <w:sz w:val="32"/>
          <w:szCs w:val="32"/>
        </w:rPr>
        <w:t>念馆，联结党的支部建设的起点——中共四大纪念馆，将上海最具代表性的红色地标全部涵盖其中。</w:t>
      </w:r>
      <w:r>
        <w:rPr>
          <w:rFonts w:hint="eastAsia" w:ascii="Times New Roman" w:hAnsi="Times New Roman" w:eastAsia="仿宋_GB2312"/>
          <w:b/>
          <w:bCs/>
          <w:sz w:val="32"/>
          <w:szCs w:val="32"/>
        </w:rPr>
        <w:t>联结重要党史事件。</w:t>
      </w:r>
      <w:r>
        <w:rPr>
          <w:rFonts w:hint="eastAsia" w:ascii="Times New Roman" w:hAnsi="Times New Roman" w:eastAsia="仿宋_GB2312"/>
          <w:sz w:val="32"/>
          <w:szCs w:val="32"/>
        </w:rPr>
        <w:t>作为党的诞生地和初心始发地，上海见证了百年党史的诸多“第一次”，中国第一个共产党早期组织诞生地、新中国上海第一面五星红旗升起地、全国第一个金融贸易区……“巴士课堂”一路行过</w:t>
      </w:r>
      <w:r>
        <w:rPr>
          <w:rFonts w:hint="eastAsia" w:ascii="仿宋_GB2312" w:hAnsi="仿宋_GB2312" w:eastAsia="仿宋_GB2312" w:cs="仿宋_GB2312"/>
          <w:sz w:val="32"/>
          <w:szCs w:val="32"/>
          <w:lang w:val="zh-TW"/>
        </w:rPr>
        <w:t>重要历史事件发生地，以时间为序，串联起发生在上海红色故事。</w:t>
      </w:r>
      <w:r>
        <w:rPr>
          <w:rFonts w:hint="eastAsia" w:ascii="Times New Roman" w:hAnsi="Times New Roman" w:eastAsia="仿宋_GB2312"/>
          <w:b/>
          <w:bCs/>
          <w:sz w:val="32"/>
          <w:szCs w:val="32"/>
          <w:lang w:val="zh-TW"/>
        </w:rPr>
        <w:t>用好党员</w:t>
      </w:r>
      <w:r>
        <w:rPr>
          <w:rFonts w:hint="eastAsia" w:ascii="Times New Roman" w:hAnsi="Times New Roman" w:eastAsia="仿宋_GB2312"/>
          <w:b/>
          <w:bCs/>
          <w:sz w:val="32"/>
          <w:szCs w:val="32"/>
        </w:rPr>
        <w:t>教育基地。</w:t>
      </w:r>
      <w:r>
        <w:rPr>
          <w:rFonts w:hint="eastAsia" w:ascii="仿宋_GB2312" w:hAnsi="仿宋_GB2312" w:eastAsia="仿宋_GB2312" w:cs="仿宋_GB2312"/>
          <w:sz w:val="32"/>
          <w:szCs w:val="32"/>
        </w:rPr>
        <w:t>为庆祝浦东开发开放30周年，2020年新建成的浦东开发开放主题展，以1000余幅图片、33个视频、5部主题演绎片、1部4D影片、5套大型装置、4组实境还原装置和近百款实物，展现中国特色社会主义在上海、在浦东的生动实践，是上海广受欢迎的党员学习教育基地。“巴士课堂”以此作为终点站，以下车观展为党课画下圆满句号，让广大党员将历史与现实相结合、理论与实践相联系，深刻领悟“牢记嘱托、砥砺奋进”的时代担当。</w:t>
      </w:r>
    </w:p>
    <w:p>
      <w:pPr>
        <w:overflowPunct w:val="0"/>
        <w:spacing w:line="550" w:lineRule="exact"/>
        <w:jc w:val="center"/>
        <w:rPr>
          <w:rFonts w:ascii="楷体_GB2312" w:hAnsi="楷体_GB2312" w:eastAsia="楷体_GB2312" w:cs="楷体_GB2312"/>
          <w:b/>
          <w:szCs w:val="32"/>
        </w:rPr>
      </w:pPr>
      <w:r>
        <w:rPr>
          <w:rFonts w:hint="eastAsia" w:ascii="楷体_GB2312" w:hAnsi="楷体_GB2312" w:eastAsia="楷体_GB2312" w:cs="楷体_GB2312"/>
          <w:sz w:val="32"/>
          <w:szCs w:val="32"/>
        </w:rPr>
        <w:t>（乘客们乘坐“巴士课堂”沿途寻找红色地标）</w:t>
      </w:r>
    </w:p>
    <w:p>
      <w:pPr>
        <w:pStyle w:val="2"/>
        <w:spacing w:line="550" w:lineRule="exact"/>
        <w:ind w:firstLine="643"/>
        <w:jc w:val="both"/>
        <w:rPr>
          <w:rFonts w:ascii="仿宋_GB2312" w:hAnsi="仿宋_GB2312" w:eastAsia="仿宋_GB2312" w:cs="仿宋_GB2312"/>
          <w:szCs w:val="32"/>
        </w:rPr>
      </w:pPr>
      <w:r>
        <w:rPr>
          <w:rFonts w:hint="eastAsia" w:ascii="楷体_GB2312" w:hAnsi="楷体_GB2312" w:eastAsia="楷体_GB2312" w:cs="楷体_GB2312"/>
          <w:b/>
          <w:szCs w:val="32"/>
        </w:rPr>
        <w:t>（三）丰富党课形式，打造“移动课堂”。</w:t>
      </w:r>
      <w:r>
        <w:rPr>
          <w:rFonts w:hint="eastAsia" w:ascii="仿宋_GB2312" w:hAnsi="仿宋_GB2312" w:eastAsia="仿宋_GB2312" w:cs="仿宋_GB2312"/>
          <w:szCs w:val="32"/>
        </w:rPr>
        <w:t>“巴士课堂”坚持推陈出新，在精心安排路线的基础上，创新设计</w:t>
      </w:r>
      <w:r>
        <w:rPr>
          <w:rFonts w:hint="eastAsia" w:ascii="Times New Roman" w:hAnsi="Times New Roman" w:eastAsia="仿宋_GB2312"/>
          <w:szCs w:val="32"/>
        </w:rPr>
        <w:t>类型</w:t>
      </w:r>
      <w:r>
        <w:rPr>
          <w:rFonts w:hint="eastAsia" w:ascii="仿宋_GB2312" w:hAnsi="仿宋_GB2312" w:eastAsia="仿宋_GB2312" w:cs="仿宋_GB2312"/>
          <w:szCs w:val="32"/>
        </w:rPr>
        <w:t>丰富、生动活泼的车上教学形式，让学员在巴士行驶途中受教育、有感悟。</w:t>
      </w:r>
      <w:r>
        <w:rPr>
          <w:rFonts w:hint="eastAsia" w:ascii="Times New Roman" w:hAnsi="Times New Roman" w:eastAsia="仿宋_GB2312"/>
          <w:b/>
          <w:bCs/>
          <w:szCs w:val="32"/>
        </w:rPr>
        <w:t>建筑故事沿途学。</w:t>
      </w:r>
      <w:r>
        <w:rPr>
          <w:rFonts w:hint="eastAsia" w:ascii="仿宋_GB2312" w:hAnsi="仿宋_GB2312" w:eastAsia="仿宋_GB2312" w:cs="仿宋_GB2312"/>
          <w:szCs w:val="32"/>
        </w:rPr>
        <w:t>老上海石库门、博文女校旧址、一大代表临时宿舍等历史建筑是静默的历史讲述者，讲解员跟随巴士路线便逐一介绍红色建筑背后的故事，让参与者更直观地了解历史人物、事件，共同追寻百年红色岁月。</w:t>
      </w:r>
      <w:r>
        <w:rPr>
          <w:rFonts w:hint="eastAsia" w:ascii="Times New Roman" w:hAnsi="Times New Roman" w:eastAsia="仿宋_GB2312"/>
          <w:b/>
          <w:bCs/>
          <w:szCs w:val="32"/>
        </w:rPr>
        <w:t>视频连线对话学。</w:t>
      </w:r>
      <w:r>
        <w:rPr>
          <w:rFonts w:hint="eastAsia" w:ascii="仿宋_GB2312" w:hAnsi="仿宋_GB2312" w:eastAsia="仿宋_GB2312" w:cs="仿宋_GB2312"/>
          <w:szCs w:val="32"/>
        </w:rPr>
        <w:t>因时长、交通等原因，“巴士课堂”并未经过位于虹口区的中共四大纪念馆，为全面介绍发生在上海的重要党史时刻，在巴士上邀请中共四大纪念馆馆长以视频连线形式，</w:t>
      </w:r>
      <w:r>
        <w:rPr>
          <w:rFonts w:hint="eastAsia" w:ascii="仿宋" w:hAnsi="仿宋" w:eastAsia="仿宋_GB2312"/>
          <w:szCs w:val="32"/>
          <w:lang w:val="zh-TW" w:eastAsia="zh-TW"/>
        </w:rPr>
        <w:t>与大家隔空对话</w:t>
      </w:r>
      <w:r>
        <w:rPr>
          <w:rFonts w:hint="eastAsia" w:ascii="仿宋" w:hAnsi="仿宋" w:eastAsia="仿宋_GB2312"/>
          <w:szCs w:val="32"/>
          <w:lang w:val="zh-TW"/>
        </w:rPr>
        <w:t>，讲解“</w:t>
      </w:r>
      <w:r>
        <w:rPr>
          <w:rFonts w:hint="eastAsia" w:ascii="Times New Roman" w:hAnsi="Times New Roman" w:eastAsia="仿宋_GB2312"/>
          <w:szCs w:val="32"/>
        </w:rPr>
        <w:t>将‘支部’确立为党的基层组织形式</w:t>
      </w:r>
      <w:r>
        <w:rPr>
          <w:rFonts w:hint="eastAsia" w:ascii="仿宋" w:hAnsi="仿宋" w:eastAsia="仿宋_GB2312"/>
          <w:szCs w:val="32"/>
          <w:lang w:val="zh-TW"/>
        </w:rPr>
        <w:t>”</w:t>
      </w:r>
      <w:r>
        <w:rPr>
          <w:rFonts w:hint="eastAsia" w:ascii="Times New Roman" w:hAnsi="Times New Roman" w:eastAsia="仿宋_GB2312"/>
          <w:szCs w:val="32"/>
        </w:rPr>
        <w:t>的始末</w:t>
      </w:r>
      <w:r>
        <w:rPr>
          <w:rFonts w:hint="eastAsia" w:ascii="仿宋_GB2312" w:hAnsi="仿宋_GB2312" w:eastAsia="仿宋_GB2312" w:cs="仿宋_GB2312"/>
          <w:szCs w:val="32"/>
        </w:rPr>
        <w:t>。</w:t>
      </w:r>
      <w:r>
        <w:rPr>
          <w:rFonts w:hint="eastAsia" w:ascii="Times New Roman" w:hAnsi="Times New Roman" w:eastAsia="仿宋_GB2312"/>
          <w:b/>
          <w:bCs/>
          <w:szCs w:val="32"/>
        </w:rPr>
        <w:t>红色影音沉浸学。</w:t>
      </w:r>
      <w:r>
        <w:rPr>
          <w:rFonts w:hint="eastAsia" w:ascii="仿宋_GB2312" w:hAnsi="仿宋_GB2312" w:eastAsia="仿宋_GB2312" w:cs="仿宋_GB2312"/>
          <w:szCs w:val="32"/>
        </w:rPr>
        <w:t>结合课程设计，沿途播放经典沪剧《永不消逝的电波》、诞生国歌的电影《风云儿女》、改革开放之歌《春天的故事》等10余段影音资料，引发大家回忆和共鸣。</w:t>
      </w:r>
      <w:r>
        <w:rPr>
          <w:rFonts w:hint="eastAsia" w:ascii="Times New Roman" w:hAnsi="Times New Roman" w:eastAsia="仿宋_GB2312"/>
          <w:b/>
          <w:bCs/>
          <w:szCs w:val="32"/>
        </w:rPr>
        <w:t>车内问答互动学。</w:t>
      </w:r>
      <w:r>
        <w:rPr>
          <w:rFonts w:hint="eastAsia" w:ascii="仿宋_GB2312" w:hAnsi="仿宋_GB2312" w:eastAsia="仿宋_GB2312" w:cs="仿宋_GB2312"/>
          <w:szCs w:val="32"/>
        </w:rPr>
        <w:t>在巴士行进过程中，每场进行3到5次知识问答，讲解员与参与者多种形式互动，让大家全方位融入学习，增强学习实效。</w:t>
      </w:r>
    </w:p>
    <w:p>
      <w:pPr>
        <w:pStyle w:val="2"/>
        <w:spacing w:line="550" w:lineRule="exact"/>
        <w:ind w:firstLine="643"/>
        <w:jc w:val="both"/>
        <w:rPr>
          <w:rFonts w:ascii="Times New Roman" w:hAnsi="Times New Roman" w:eastAsia="仿宋_GB2312"/>
          <w:szCs w:val="32"/>
        </w:rPr>
      </w:pPr>
      <w:r>
        <w:rPr>
          <w:rFonts w:hint="eastAsia" w:ascii="楷体_GB2312" w:hAnsi="楷体_GB2312" w:eastAsia="楷体_GB2312" w:cs="楷体_GB2312"/>
          <w:b/>
          <w:szCs w:val="32"/>
        </w:rPr>
        <w:t>（四）强化多元参与，形成学习热潮。</w:t>
      </w:r>
      <w:r>
        <w:rPr>
          <w:rFonts w:hint="eastAsia" w:ascii="仿宋_GB2312" w:hAnsi="仿宋_GB2312" w:eastAsia="仿宋_GB2312" w:cs="仿宋_GB2312"/>
          <w:szCs w:val="32"/>
        </w:rPr>
        <w:t>在活动中不断擦亮“巴士课堂”品牌，切实发挥组织优势和专业优势，着力打造广受欢迎的党史学习“金课”。</w:t>
      </w:r>
      <w:r>
        <w:rPr>
          <w:rFonts w:hint="eastAsia" w:ascii="仿宋_GB2312" w:hAnsi="仿宋_GB2312" w:eastAsia="仿宋_GB2312" w:cs="仿宋_GB2312"/>
          <w:b/>
          <w:bCs/>
          <w:szCs w:val="32"/>
        </w:rPr>
        <w:t>满足多元学习需求，</w:t>
      </w:r>
      <w:r>
        <w:rPr>
          <w:rFonts w:hint="eastAsia" w:ascii="仿宋_GB2312" w:hAnsi="仿宋_GB2312" w:eastAsia="仿宋_GB2312" w:cs="仿宋_GB2312"/>
          <w:szCs w:val="32"/>
        </w:rPr>
        <w:t>结合党史学习教育常态化长效化要求，落实“三会一课”、主题党日等组织生活制度要求，聚焦“两新”组织党员、社区党员、科创人才、青少年等不同领域不同类型党员群众学习需求，量身定制多样化、创新性党课内容。在每周一至周五、每天6班次的基础上，</w:t>
      </w:r>
      <w:r>
        <w:rPr>
          <w:rFonts w:hint="eastAsia" w:ascii="Times New Roman" w:hAnsi="Times New Roman" w:eastAsia="仿宋_GB2312"/>
          <w:szCs w:val="32"/>
        </w:rPr>
        <w:t>增开夜班巴士、周末巴士等，尽可能满足更多基层党组织和党员群众学习教育的需求。</w:t>
      </w:r>
      <w:r>
        <w:rPr>
          <w:rFonts w:hint="eastAsia" w:ascii="仿宋_GB2312" w:hAnsi="仿宋_GB2312" w:eastAsia="仿宋_GB2312" w:cs="仿宋_GB2312"/>
          <w:b/>
          <w:bCs/>
          <w:szCs w:val="32"/>
        </w:rPr>
        <w:t>打造多元宣讲团队，</w:t>
      </w:r>
      <w:r>
        <w:rPr>
          <w:rFonts w:hint="eastAsia" w:ascii="仿宋_GB2312" w:hAnsi="仿宋_GB2312" w:eastAsia="仿宋_GB2312" w:cs="仿宋_GB2312"/>
          <w:szCs w:val="32"/>
        </w:rPr>
        <w:t>定期</w:t>
      </w:r>
      <w:r>
        <w:rPr>
          <w:rFonts w:hint="eastAsia" w:ascii="仿宋" w:hAnsi="仿宋" w:eastAsia="仿宋_GB2312"/>
          <w:szCs w:val="32"/>
          <w:lang w:val="zh-TW"/>
        </w:rPr>
        <w:t>邀请全国全市党代表、“两优一先”、青年党员、医务工作者、科创先锋等亲历者、建设者走进“巴士课堂”。</w:t>
      </w:r>
      <w:r>
        <w:rPr>
          <w:rFonts w:hint="eastAsia" w:ascii="仿宋_GB2312" w:hAnsi="仿宋_GB2312" w:eastAsia="仿宋_GB2312" w:cs="仿宋_GB2312"/>
          <w:szCs w:val="32"/>
        </w:rPr>
        <w:t>举办“党的故事我来讲”巴士课堂讲解员评选活动，选拔100名优秀讲解员，打造百人专业宣讲团队。</w:t>
      </w:r>
      <w:r>
        <w:rPr>
          <w:rFonts w:hint="eastAsia" w:ascii="仿宋_GB2312" w:hAnsi="仿宋_GB2312" w:eastAsia="仿宋_GB2312" w:cs="仿宋_GB2312"/>
          <w:b/>
          <w:bCs/>
          <w:szCs w:val="32"/>
        </w:rPr>
        <w:t>拓展多元学习形式，</w:t>
      </w:r>
      <w:r>
        <w:rPr>
          <w:rFonts w:hint="eastAsia" w:ascii="仿宋_GB2312" w:hAnsi="仿宋_GB2312" w:eastAsia="仿宋_GB2312" w:cs="仿宋_GB2312"/>
          <w:szCs w:val="32"/>
        </w:rPr>
        <w:t>充分发挥线上平台作用，</w:t>
      </w:r>
      <w:r>
        <w:rPr>
          <w:rFonts w:hint="eastAsia" w:ascii="Times New Roman" w:hAnsi="Times New Roman" w:eastAsia="仿宋_GB2312"/>
          <w:szCs w:val="32"/>
        </w:rPr>
        <w:t>在“浦东观察”APP开通“巴士课堂”预约平台，</w:t>
      </w:r>
      <w:r>
        <w:rPr>
          <w:rFonts w:hint="eastAsia" w:ascii="仿宋_GB2312" w:hAnsi="仿宋_GB2312" w:eastAsia="仿宋_GB2312" w:cs="仿宋_GB2312"/>
          <w:szCs w:val="32"/>
        </w:rPr>
        <w:t>在抖音、B站等网络平台举办网络直播活动，打造巴士云端课堂。预约平台</w:t>
      </w:r>
      <w:r>
        <w:rPr>
          <w:rFonts w:hint="eastAsia" w:ascii="Times New Roman" w:hAnsi="Times New Roman" w:eastAsia="仿宋_GB2312"/>
          <w:szCs w:val="32"/>
        </w:rPr>
        <w:t>正式上线仅2个小时，一个月内近百场次的活动就被全部约满，每天凌晨更新的班次均在几十秒内被“秒杀”，更有许多党组织选择“拼车”参加活动，掀起“坐红色巴士 学百年党史”的热潮。</w:t>
      </w:r>
    </w:p>
    <w:p>
      <w:pPr>
        <w:pStyle w:val="3"/>
        <w:spacing w:after="0" w:line="550" w:lineRule="exact"/>
        <w:ind w:left="0" w:leftChars="0" w:firstLine="0" w:firstLineChars="0"/>
        <w:jc w:val="center"/>
        <w:rPr>
          <w:rFonts w:ascii="楷体_GB2312" w:hAnsi="楷体_GB2312" w:eastAsia="楷体_GB2312" w:cs="楷体_GB2312"/>
          <w:sz w:val="32"/>
          <w:szCs w:val="32"/>
        </w:rPr>
      </w:pPr>
      <w:r>
        <w:rPr>
          <w:rFonts w:hint="eastAsia" w:ascii="楷体_GB2312" w:hAnsi="楷体_GB2312" w:eastAsia="楷体_GB2312" w:cs="楷体_GB2312"/>
          <w:sz w:val="32"/>
          <w:szCs w:val="32"/>
        </w:rPr>
        <w:t>（经评选产生的“巴士课堂”首席讲解员正在为乘客们讲解</w:t>
      </w:r>
      <w:r>
        <w:drawing>
          <wp:anchor distT="0" distB="0" distL="114300" distR="114300" simplePos="0" relativeHeight="251659264" behindDoc="0" locked="0" layoutInCell="1" allowOverlap="1">
            <wp:simplePos x="0" y="0"/>
            <wp:positionH relativeFrom="column">
              <wp:posOffset>332105</wp:posOffset>
            </wp:positionH>
            <wp:positionV relativeFrom="paragraph">
              <wp:posOffset>72390</wp:posOffset>
            </wp:positionV>
            <wp:extent cx="4832985" cy="3218180"/>
            <wp:effectExtent l="0" t="0" r="5715" b="7620"/>
            <wp:wrapTopAndBottom/>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10" cstate="print"/>
                    <a:stretch>
                      <a:fillRect/>
                    </a:stretch>
                  </pic:blipFill>
                  <pic:spPr>
                    <a:xfrm>
                      <a:off x="0" y="0"/>
                      <a:ext cx="4832985" cy="3218180"/>
                    </a:xfrm>
                    <a:prstGeom prst="rect">
                      <a:avLst/>
                    </a:prstGeom>
                    <a:noFill/>
                    <a:ln>
                      <a:noFill/>
                    </a:ln>
                  </pic:spPr>
                </pic:pic>
              </a:graphicData>
            </a:graphic>
          </wp:anchor>
        </w:drawing>
      </w:r>
      <w:r>
        <w:rPr>
          <w:rFonts w:hint="eastAsia" w:ascii="楷体_GB2312" w:hAnsi="楷体_GB2312" w:eastAsia="楷体_GB2312" w:cs="楷体_GB2312"/>
          <w:sz w:val="32"/>
          <w:szCs w:val="32"/>
        </w:rPr>
        <w:t>）</w:t>
      </w:r>
    </w:p>
    <w:p>
      <w:pPr>
        <w:adjustRightInd w:val="0"/>
        <w:snapToGrid w:val="0"/>
        <w:spacing w:line="550" w:lineRule="exact"/>
        <w:ind w:firstLine="643" w:firstLineChars="200"/>
        <w:rPr>
          <w:rFonts w:ascii="黑体" w:hAnsi="黑体" w:eastAsia="黑体" w:cs="黑体"/>
          <w:b/>
          <w:bCs/>
          <w:sz w:val="32"/>
          <w:szCs w:val="32"/>
        </w:rPr>
      </w:pPr>
      <w:r>
        <w:rPr>
          <w:rFonts w:hint="eastAsia" w:ascii="黑体" w:hAnsi="黑体" w:eastAsia="黑体" w:cs="黑体"/>
          <w:b/>
          <w:bCs/>
          <w:sz w:val="32"/>
          <w:szCs w:val="32"/>
        </w:rPr>
        <w:t>【启示】</w:t>
      </w:r>
    </w:p>
    <w:p>
      <w:pPr>
        <w:pStyle w:val="2"/>
        <w:spacing w:line="550" w:lineRule="exact"/>
        <w:ind w:firstLine="643"/>
      </w:pPr>
      <w:r>
        <w:rPr>
          <w:rFonts w:hint="eastAsia" w:ascii="楷体_GB2312" w:hAnsi="楷体_GB2312" w:eastAsia="楷体_GB2312" w:cs="楷体_GB2312"/>
          <w:b/>
          <w:szCs w:val="32"/>
        </w:rPr>
        <w:t>（一）用活红色资源，要强化系统思维、点线结合。</w:t>
      </w:r>
      <w:r>
        <w:rPr>
          <w:rFonts w:hint="eastAsia" w:ascii="Times New Roman" w:hAnsi="Times New Roman" w:eastAsia="仿宋_GB2312"/>
          <w:szCs w:val="32"/>
        </w:rPr>
        <w:t>紧紧围绕党史、新中国史、改革开放史、社会主义发展史学习要求，充分发挥上海党的诞生地和浦东改革开放最前沿的资源优势，在时间上沿着历史发展沿革，串联起党的建设、改革、发展各个时期；在空间上连接各处红色资源，串联起红色场馆、历史遗迹多个点位，打造体系完整、内容全面的课程，推动党员深刻领悟中国共产党为什么“能”、马克思主义为什么“行”、中国特色社会主义为什么“好”，忠诚拥护“两个确立”、坚决做到“两个维护”。</w:t>
      </w:r>
    </w:p>
    <w:p>
      <w:pPr>
        <w:pStyle w:val="2"/>
        <w:ind w:firstLine="0" w:firstLineChars="0"/>
      </w:pPr>
      <w:r>
        <w:drawing>
          <wp:anchor distT="0" distB="0" distL="114300" distR="114300" simplePos="0" relativeHeight="251662336" behindDoc="1" locked="0" layoutInCell="1" allowOverlap="1">
            <wp:simplePos x="0" y="0"/>
            <wp:positionH relativeFrom="column">
              <wp:posOffset>274955</wp:posOffset>
            </wp:positionH>
            <wp:positionV relativeFrom="paragraph">
              <wp:posOffset>81280</wp:posOffset>
            </wp:positionV>
            <wp:extent cx="5203190" cy="3457575"/>
            <wp:effectExtent l="0" t="0" r="3810" b="9525"/>
            <wp:wrapTight wrapText="bothSides">
              <wp:wrapPolygon>
                <wp:start x="0" y="0"/>
                <wp:lineTo x="0" y="21501"/>
                <wp:lineTo x="21563" y="21501"/>
                <wp:lineTo x="21563" y="0"/>
                <wp:lineTo x="0" y="0"/>
              </wp:wrapPolygon>
            </wp:wrapTight>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11" cstate="print"/>
                    <a:stretch>
                      <a:fillRect/>
                    </a:stretch>
                  </pic:blipFill>
                  <pic:spPr>
                    <a:xfrm>
                      <a:off x="0" y="0"/>
                      <a:ext cx="5203190" cy="3457575"/>
                    </a:xfrm>
                    <a:prstGeom prst="rect">
                      <a:avLst/>
                    </a:prstGeom>
                    <a:noFill/>
                    <a:ln>
                      <a:noFill/>
                    </a:ln>
                  </pic:spPr>
                </pic:pic>
              </a:graphicData>
            </a:graphic>
          </wp:anchor>
        </w:drawing>
      </w:r>
    </w:p>
    <w:p/>
    <w:p>
      <w:pPr>
        <w:overflowPunct w:val="0"/>
        <w:spacing w:line="570" w:lineRule="exact"/>
        <w:jc w:val="center"/>
      </w:pPr>
      <w:r>
        <w:rPr>
          <w:rFonts w:hint="eastAsia" w:ascii="楷体_GB2312" w:hAnsi="楷体_GB2312" w:eastAsia="楷体_GB2312" w:cs="楷体_GB2312"/>
          <w:sz w:val="32"/>
          <w:szCs w:val="32"/>
        </w:rPr>
        <w:t>（学员参加“巴士党课”学习后拍照留念）</w:t>
      </w:r>
    </w:p>
    <w:p>
      <w:pPr>
        <w:pStyle w:val="2"/>
        <w:spacing w:line="550" w:lineRule="exact"/>
        <w:ind w:firstLine="643"/>
        <w:rPr>
          <w:rFonts w:ascii="仿宋_GB2312" w:hAnsi="仿宋_GB2312" w:eastAsia="仿宋_GB2312" w:cs="仿宋_GB2312"/>
          <w:szCs w:val="32"/>
        </w:rPr>
      </w:pPr>
      <w:r>
        <w:rPr>
          <w:rFonts w:hint="eastAsia" w:ascii="楷体_GB2312" w:hAnsi="楷体_GB2312" w:eastAsia="楷体_GB2312" w:cs="楷体_GB2312"/>
          <w:b/>
          <w:szCs w:val="32"/>
        </w:rPr>
        <w:t>（二）讲活历史故事，要强化质量观念、增强实效。</w:t>
      </w:r>
      <w:r>
        <w:rPr>
          <w:rFonts w:hint="eastAsia" w:ascii="Times New Roman" w:hAnsi="Times New Roman" w:eastAsia="仿宋_GB2312"/>
          <w:szCs w:val="32"/>
        </w:rPr>
        <w:t>将红色资源作为理想信念教育和党性教育的“活教材”，要坚持内容为王，形式为内容服务，加强理论阐释，深入挖掘故事背后的精神、精神背后的实质，以有厚度的内容承载有深度的理论，</w:t>
      </w:r>
      <w:r>
        <w:rPr>
          <w:rFonts w:hint="eastAsia" w:ascii="仿宋_GB2312" w:hAnsi="仿宋_GB2312" w:eastAsia="仿宋_GB2312" w:cs="仿宋_GB2312"/>
          <w:szCs w:val="32"/>
        </w:rPr>
        <w:t>让党员在历史穿梭中加深感悟感动，在学思践悟中筑牢思想根基，确保党课学习走深走心走实，推动学习成效转化为实际行动。</w:t>
      </w:r>
    </w:p>
    <w:p>
      <w:pPr>
        <w:pStyle w:val="2"/>
        <w:spacing w:line="550" w:lineRule="exact"/>
        <w:ind w:firstLine="643"/>
        <w:rPr>
          <w:rFonts w:ascii="Times New Roman" w:hAnsi="Times New Roman" w:eastAsia="仿宋_GB2312"/>
          <w:szCs w:val="32"/>
        </w:rPr>
      </w:pPr>
      <w:r>
        <w:rPr>
          <w:rFonts w:hint="eastAsia" w:ascii="Times New Roman" w:hAnsi="Times New Roman" w:eastAsia="楷体_GB2312"/>
          <w:b/>
          <w:szCs w:val="32"/>
        </w:rPr>
        <w:t>（三）</w:t>
      </w:r>
      <w:r>
        <w:rPr>
          <w:rFonts w:hint="eastAsia" w:ascii="楷体_GB2312" w:hAnsi="楷体_GB2312" w:eastAsia="楷体_GB2312" w:cs="楷体_GB2312"/>
          <w:b/>
          <w:szCs w:val="32"/>
        </w:rPr>
        <w:t>搞活教育形式，要强化需求导向、守正创新。</w:t>
      </w:r>
      <w:r>
        <w:rPr>
          <w:rFonts w:hint="eastAsia" w:ascii="仿宋_GB2312" w:hAnsi="仿宋_GB2312" w:eastAsia="仿宋_GB2312" w:cs="仿宋_GB2312"/>
          <w:szCs w:val="32"/>
        </w:rPr>
        <w:t>要适应时代发展趋势和新时代党员学习习惯，</w:t>
      </w:r>
      <w:r>
        <w:rPr>
          <w:rFonts w:hint="eastAsia" w:ascii="Times New Roman" w:hAnsi="Times New Roman" w:eastAsia="仿宋_GB2312"/>
          <w:szCs w:val="32"/>
        </w:rPr>
        <w:t>不仅要持续挖掘红色宝藏、丰富红色地图，还要机制、载体、方法上创新，通过全媒体的传播、数字化的呈现、艺术化的再现，打造情景式、互动式、体验式的党员教育课程，使人们与党史教室、教材、教师更好产生共情、共鸣，在跨越时空的对话中感知革命精神，强化理想信念。</w:t>
      </w:r>
    </w:p>
    <w:p>
      <w:pPr>
        <w:spacing w:line="400" w:lineRule="exact"/>
        <w:rPr>
          <w:rFonts w:ascii="仿宋_GB2312" w:hAnsi="仿宋_GB2312" w:eastAsia="仿宋_GB2312" w:cs="仿宋_GB2312"/>
          <w:bCs/>
          <w:color w:val="000000"/>
          <w:sz w:val="28"/>
          <w:szCs w:val="28"/>
        </w:rPr>
      </w:pPr>
    </w:p>
    <w:p>
      <w:pPr>
        <w:spacing w:line="600" w:lineRule="exact"/>
        <w:rPr>
          <w:rFonts w:ascii="仿宋_GB2312" w:hAnsi="仿宋_GB2312" w:eastAsia="仿宋_GB2312" w:cs="仿宋_GB2312"/>
          <w:sz w:val="34"/>
          <w:szCs w:val="34"/>
        </w:rPr>
      </w:pPr>
    </w:p>
    <w:p>
      <w:pPr>
        <w:snapToGrid w:val="0"/>
        <w:spacing w:line="360" w:lineRule="auto"/>
        <w:contextualSpacing/>
        <w:rPr>
          <w:rFonts w:ascii="仿宋_GB2312" w:eastAsia="仿宋_GB2312"/>
          <w:sz w:val="32"/>
          <w:szCs w:val="32"/>
        </w:rPr>
      </w:pPr>
    </w:p>
    <w:sectPr>
      <w:footerReference r:id="rId5" w:type="default"/>
      <w:footerReference r:id="rId6" w:type="even"/>
      <w:pgSz w:w="11906" w:h="16838"/>
      <w:pgMar w:top="2098" w:right="1474" w:bottom="1985" w:left="158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宋体">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ˎ̥">
    <w:altName w:val="Times New Roman"/>
    <w:panose1 w:val="00000000000000000000"/>
    <w:charset w:val="00"/>
    <w:family w:val="roman"/>
    <w:pitch w:val="default"/>
    <w:sig w:usb0="00000000" w:usb1="00000000" w:usb2="00000000"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left w:val="single" w:color="4F81BD" w:themeColor="accent1" w:sz="12" w:space="11"/>
      </w:pBdr>
      <w:tabs>
        <w:tab w:val="left" w:pos="622"/>
      </w:tabs>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fldChar w:fldCharType="begin"/>
    </w:r>
    <w:r>
      <w:instrText xml:space="preserve">PAGE   \* MERGEFORMAT</w:instrText>
    </w:r>
    <w:r>
      <w:fldChar w:fldCharType="separate"/>
    </w:r>
    <w:r>
      <w:rPr>
        <w:lang w:val="zh-CN"/>
      </w:rPr>
      <w:t>-</w:t>
    </w:r>
    <w:r>
      <w:t xml:space="preserve"> 29 -</w:t>
    </w:r>
    <w:r>
      <w:fldChar w:fldCharType="end"/>
    </w:r>
  </w:p>
  <w:p>
    <w:pPr>
      <w:pStyle w:val="8"/>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fldChar w:fldCharType="begin"/>
    </w:r>
    <w:r>
      <w:instrText xml:space="preserve">PAGE   \* MERGEFORMAT</w:instrText>
    </w:r>
    <w:r>
      <w:fldChar w:fldCharType="separate"/>
    </w:r>
    <w:r>
      <w:rPr>
        <w:lang w:val="zh-CN"/>
      </w:rPr>
      <w:t>-</w:t>
    </w:r>
    <w:r>
      <w:t xml:space="preserve"> 28 -</w:t>
    </w:r>
    <w:r>
      <w:fldChar w:fldCharType="end"/>
    </w:r>
  </w:p>
  <w:p>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1"/>
  <w:bordersDoNotSurroundFooter w:val="1"/>
  <w:documentProtection w:enforcement="0"/>
  <w:defaultTabStop w:val="420"/>
  <w:evenAndOddHeaders w:val="1"/>
  <w:drawingGridHorizontalSpacing w:val="105"/>
  <w:drawingGridVerticalSpacing w:val="38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DM2YWQ0YWY4YWI2Zjk3MjIxN2VlMGJkYTYzYmIwNmYifQ=="/>
  </w:docVars>
  <w:rsids>
    <w:rsidRoot w:val="00F23F26"/>
    <w:rsid w:val="00020577"/>
    <w:rsid w:val="00033737"/>
    <w:rsid w:val="00047621"/>
    <w:rsid w:val="000A1593"/>
    <w:rsid w:val="000A2AE8"/>
    <w:rsid w:val="000E1E07"/>
    <w:rsid w:val="001050A2"/>
    <w:rsid w:val="00116E6A"/>
    <w:rsid w:val="00157611"/>
    <w:rsid w:val="00194A45"/>
    <w:rsid w:val="001E0A01"/>
    <w:rsid w:val="00204C00"/>
    <w:rsid w:val="002057E5"/>
    <w:rsid w:val="0023021C"/>
    <w:rsid w:val="00230D94"/>
    <w:rsid w:val="0024707D"/>
    <w:rsid w:val="00251345"/>
    <w:rsid w:val="0027345A"/>
    <w:rsid w:val="00293A48"/>
    <w:rsid w:val="002A02B4"/>
    <w:rsid w:val="002B0268"/>
    <w:rsid w:val="00357162"/>
    <w:rsid w:val="00357C92"/>
    <w:rsid w:val="003A0812"/>
    <w:rsid w:val="003C739C"/>
    <w:rsid w:val="003F00E5"/>
    <w:rsid w:val="0043622E"/>
    <w:rsid w:val="00444823"/>
    <w:rsid w:val="00461E9B"/>
    <w:rsid w:val="00487129"/>
    <w:rsid w:val="004C7569"/>
    <w:rsid w:val="0053440F"/>
    <w:rsid w:val="005A2AAE"/>
    <w:rsid w:val="005B6253"/>
    <w:rsid w:val="0061497B"/>
    <w:rsid w:val="00616B75"/>
    <w:rsid w:val="006178F0"/>
    <w:rsid w:val="006204AB"/>
    <w:rsid w:val="0062551E"/>
    <w:rsid w:val="006A7BD6"/>
    <w:rsid w:val="006B7FEF"/>
    <w:rsid w:val="007000C3"/>
    <w:rsid w:val="00711591"/>
    <w:rsid w:val="0072085F"/>
    <w:rsid w:val="007C40DC"/>
    <w:rsid w:val="007F5959"/>
    <w:rsid w:val="007F60D2"/>
    <w:rsid w:val="00814538"/>
    <w:rsid w:val="008A6989"/>
    <w:rsid w:val="008B7E08"/>
    <w:rsid w:val="00900D8D"/>
    <w:rsid w:val="00905F65"/>
    <w:rsid w:val="009143E7"/>
    <w:rsid w:val="009345C0"/>
    <w:rsid w:val="009A6B77"/>
    <w:rsid w:val="00A04E66"/>
    <w:rsid w:val="00A40043"/>
    <w:rsid w:val="00AA76E6"/>
    <w:rsid w:val="00AE062F"/>
    <w:rsid w:val="00B0186E"/>
    <w:rsid w:val="00B05A0E"/>
    <w:rsid w:val="00B23553"/>
    <w:rsid w:val="00B9146D"/>
    <w:rsid w:val="00BA06F2"/>
    <w:rsid w:val="00BB402C"/>
    <w:rsid w:val="00BC70B2"/>
    <w:rsid w:val="00BD44E6"/>
    <w:rsid w:val="00C36ABE"/>
    <w:rsid w:val="00C8140B"/>
    <w:rsid w:val="00C90F31"/>
    <w:rsid w:val="00CA1275"/>
    <w:rsid w:val="00CA4C00"/>
    <w:rsid w:val="00CB47C9"/>
    <w:rsid w:val="00CC5943"/>
    <w:rsid w:val="00CD3AB2"/>
    <w:rsid w:val="00D02005"/>
    <w:rsid w:val="00D155FA"/>
    <w:rsid w:val="00D16ABA"/>
    <w:rsid w:val="00D244BF"/>
    <w:rsid w:val="00D66ED8"/>
    <w:rsid w:val="00DB37AB"/>
    <w:rsid w:val="00DB5FF1"/>
    <w:rsid w:val="00DC156F"/>
    <w:rsid w:val="00E20642"/>
    <w:rsid w:val="00E629AC"/>
    <w:rsid w:val="00E974BE"/>
    <w:rsid w:val="00EB2988"/>
    <w:rsid w:val="00EB6F66"/>
    <w:rsid w:val="00F23092"/>
    <w:rsid w:val="00F23F26"/>
    <w:rsid w:val="00F42253"/>
    <w:rsid w:val="00FC2EC4"/>
    <w:rsid w:val="00FC625E"/>
    <w:rsid w:val="00FF2B54"/>
    <w:rsid w:val="00FF6285"/>
    <w:rsid w:val="017C4E3A"/>
    <w:rsid w:val="022F6F83"/>
    <w:rsid w:val="02D90516"/>
    <w:rsid w:val="02FC3065"/>
    <w:rsid w:val="043974F7"/>
    <w:rsid w:val="04B24738"/>
    <w:rsid w:val="04D23DC3"/>
    <w:rsid w:val="050853B2"/>
    <w:rsid w:val="061A2272"/>
    <w:rsid w:val="07331042"/>
    <w:rsid w:val="081F665B"/>
    <w:rsid w:val="0950795F"/>
    <w:rsid w:val="09933569"/>
    <w:rsid w:val="0C472CEA"/>
    <w:rsid w:val="0E973753"/>
    <w:rsid w:val="0EBF099D"/>
    <w:rsid w:val="0ED14B39"/>
    <w:rsid w:val="0F1467D4"/>
    <w:rsid w:val="11096292"/>
    <w:rsid w:val="11BA57FF"/>
    <w:rsid w:val="11E93F48"/>
    <w:rsid w:val="1321223E"/>
    <w:rsid w:val="14042F0B"/>
    <w:rsid w:val="18256EBF"/>
    <w:rsid w:val="18AF2B76"/>
    <w:rsid w:val="1BAB6275"/>
    <w:rsid w:val="1E0125EF"/>
    <w:rsid w:val="21432172"/>
    <w:rsid w:val="21C2005C"/>
    <w:rsid w:val="23FC7B0B"/>
    <w:rsid w:val="27790C9C"/>
    <w:rsid w:val="289533B5"/>
    <w:rsid w:val="296B4B12"/>
    <w:rsid w:val="2B152106"/>
    <w:rsid w:val="2CD00CB1"/>
    <w:rsid w:val="2F23795E"/>
    <w:rsid w:val="38392D54"/>
    <w:rsid w:val="39216541"/>
    <w:rsid w:val="39575903"/>
    <w:rsid w:val="3AAC528D"/>
    <w:rsid w:val="3BC601FD"/>
    <w:rsid w:val="40727911"/>
    <w:rsid w:val="40EA2D1F"/>
    <w:rsid w:val="431C62FA"/>
    <w:rsid w:val="47150D60"/>
    <w:rsid w:val="48FD562E"/>
    <w:rsid w:val="49A33F6E"/>
    <w:rsid w:val="49A93559"/>
    <w:rsid w:val="49D310A2"/>
    <w:rsid w:val="52344B41"/>
    <w:rsid w:val="53102EE7"/>
    <w:rsid w:val="537A1682"/>
    <w:rsid w:val="54E45FA6"/>
    <w:rsid w:val="56E32800"/>
    <w:rsid w:val="572C6DED"/>
    <w:rsid w:val="5B900777"/>
    <w:rsid w:val="5BFA3990"/>
    <w:rsid w:val="5C9A0A89"/>
    <w:rsid w:val="5CBF4A76"/>
    <w:rsid w:val="62A92BF7"/>
    <w:rsid w:val="63081A0C"/>
    <w:rsid w:val="64EC051E"/>
    <w:rsid w:val="665A1E94"/>
    <w:rsid w:val="67B76183"/>
    <w:rsid w:val="686236C1"/>
    <w:rsid w:val="6AD95A7D"/>
    <w:rsid w:val="6CEC48E8"/>
    <w:rsid w:val="70394BE0"/>
    <w:rsid w:val="705B3A3B"/>
    <w:rsid w:val="70F03DD1"/>
    <w:rsid w:val="711C45FA"/>
    <w:rsid w:val="71A22E1F"/>
    <w:rsid w:val="71D00472"/>
    <w:rsid w:val="72B54FA1"/>
    <w:rsid w:val="748066B1"/>
    <w:rsid w:val="76913391"/>
    <w:rsid w:val="793477C0"/>
    <w:rsid w:val="7BB56945"/>
    <w:rsid w:val="7BEC38BF"/>
    <w:rsid w:val="7C036A03"/>
    <w:rsid w:val="7F8F597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99" w:semiHidden="0"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2"/>
    <w:basedOn w:val="1"/>
    <w:next w:val="3"/>
    <w:qFormat/>
    <w:uiPriority w:val="99"/>
    <w:pPr>
      <w:spacing w:line="360" w:lineRule="auto"/>
      <w:ind w:firstLine="880" w:firstLineChars="200"/>
      <w:jc w:val="left"/>
    </w:pPr>
    <w:rPr>
      <w:sz w:val="32"/>
    </w:rPr>
  </w:style>
  <w:style w:type="paragraph" w:styleId="3">
    <w:name w:val="Body Text First Indent 2"/>
    <w:basedOn w:val="4"/>
    <w:next w:val="1"/>
    <w:qFormat/>
    <w:uiPriority w:val="99"/>
    <w:pPr>
      <w:spacing w:after="120"/>
      <w:ind w:left="420" w:leftChars="200" w:firstLine="420"/>
    </w:pPr>
    <w:rPr>
      <w:sz w:val="21"/>
      <w:szCs w:val="20"/>
    </w:rPr>
  </w:style>
  <w:style w:type="paragraph" w:styleId="4">
    <w:name w:val="Body Text Indent"/>
    <w:basedOn w:val="1"/>
    <w:qFormat/>
    <w:uiPriority w:val="0"/>
    <w:pPr>
      <w:spacing w:line="360" w:lineRule="exact"/>
      <w:ind w:firstLine="720" w:firstLineChars="300"/>
    </w:pPr>
    <w:rPr>
      <w:rFonts w:ascii="Times New Roman" w:hAnsi="Times New Roman" w:eastAsia="华文宋体"/>
      <w:sz w:val="24"/>
      <w:szCs w:val="24"/>
    </w:rPr>
  </w:style>
  <w:style w:type="paragraph" w:styleId="5">
    <w:name w:val="annotation text"/>
    <w:basedOn w:val="1"/>
    <w:semiHidden/>
    <w:unhideWhenUsed/>
    <w:qFormat/>
    <w:uiPriority w:val="99"/>
    <w:pPr>
      <w:jc w:val="left"/>
    </w:pPr>
  </w:style>
  <w:style w:type="paragraph" w:styleId="6">
    <w:name w:val="Date"/>
    <w:basedOn w:val="1"/>
    <w:next w:val="1"/>
    <w:link w:val="20"/>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ind w:firstLine="627" w:firstLineChars="200"/>
    </w:pPr>
  </w:style>
  <w:style w:type="paragraph" w:styleId="11">
    <w:name w:val="Normal (Web)"/>
    <w:basedOn w:val="1"/>
    <w:unhideWhenUsed/>
    <w:qFormat/>
    <w:uiPriority w:val="0"/>
    <w:pPr>
      <w:widowControl/>
      <w:jc w:val="left"/>
    </w:pPr>
    <w:rPr>
      <w:rFonts w:ascii="宋体" w:hAnsi="宋体" w:eastAsia="宋体" w:cs="宋体"/>
      <w:kern w:val="0"/>
      <w:sz w:val="24"/>
      <w:szCs w:val="2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Emphasis"/>
    <w:basedOn w:val="14"/>
    <w:qFormat/>
    <w:uiPriority w:val="20"/>
    <w:rPr>
      <w:i/>
    </w:rPr>
  </w:style>
  <w:style w:type="character" w:customStyle="1" w:styleId="16">
    <w:name w:val="页眉 Char"/>
    <w:basedOn w:val="14"/>
    <w:link w:val="9"/>
    <w:qFormat/>
    <w:uiPriority w:val="99"/>
    <w:rPr>
      <w:sz w:val="18"/>
      <w:szCs w:val="18"/>
    </w:rPr>
  </w:style>
  <w:style w:type="character" w:customStyle="1" w:styleId="17">
    <w:name w:val="页脚 Char"/>
    <w:basedOn w:val="14"/>
    <w:link w:val="8"/>
    <w:qFormat/>
    <w:uiPriority w:val="99"/>
    <w:rPr>
      <w:sz w:val="18"/>
      <w:szCs w:val="18"/>
    </w:rPr>
  </w:style>
  <w:style w:type="paragraph" w:styleId="18">
    <w:name w:val="List Paragraph"/>
    <w:basedOn w:val="1"/>
    <w:qFormat/>
    <w:uiPriority w:val="99"/>
    <w:pPr>
      <w:ind w:firstLine="420" w:firstLineChars="200"/>
    </w:pPr>
    <w:rPr>
      <w:rFonts w:ascii="Calibri" w:hAnsi="Calibri" w:eastAsia="宋体" w:cs="Times New Roman"/>
      <w:szCs w:val="24"/>
    </w:rPr>
  </w:style>
  <w:style w:type="character" w:customStyle="1" w:styleId="19">
    <w:name w:val="批注框文本 Char"/>
    <w:basedOn w:val="14"/>
    <w:link w:val="7"/>
    <w:semiHidden/>
    <w:qFormat/>
    <w:uiPriority w:val="99"/>
    <w:rPr>
      <w:rFonts w:asciiTheme="minorHAnsi" w:hAnsiTheme="minorHAnsi" w:eastAsiaTheme="minorEastAsia"/>
      <w:kern w:val="2"/>
      <w:sz w:val="18"/>
      <w:szCs w:val="18"/>
    </w:rPr>
  </w:style>
  <w:style w:type="character" w:customStyle="1" w:styleId="20">
    <w:name w:val="日期 Char"/>
    <w:basedOn w:val="14"/>
    <w:link w:val="6"/>
    <w:semiHidden/>
    <w:qFormat/>
    <w:uiPriority w:val="99"/>
    <w:rPr>
      <w:rFonts w:asciiTheme="minorHAnsi" w:hAnsiTheme="minorHAnsi" w:eastAsiaTheme="minorEastAsia" w:cstheme="minorBid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4D71D-35E6-4FC1-8D31-ED6F04B2E99C}">
  <ds:schemaRefs/>
</ds:datastoreItem>
</file>

<file path=docProps/app.xml><?xml version="1.0" encoding="utf-8"?>
<Properties xmlns="http://schemas.openxmlformats.org/officeDocument/2006/extended-properties" xmlns:vt="http://schemas.openxmlformats.org/officeDocument/2006/docPropsVTypes">
  <Template>Normal</Template>
  <Pages>23</Pages>
  <Words>13140</Words>
  <Characters>13424</Characters>
  <Lines>120</Lines>
  <Paragraphs>33</Paragraphs>
  <TotalTime>82</TotalTime>
  <ScaleCrop>false</ScaleCrop>
  <LinksUpToDate>false</LinksUpToDate>
  <CharactersWithSpaces>13633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2022-09-26T03:37:00Z</dcterms:created>
  <dc:creator>lenovo</dc:creator>
  <cp:lastModifiedBy>聂坤</cp:lastModifiedBy>
  <cp:lastPrinted>2021-09-17T07:17:00Z</cp:lastPrinted>
  <dcterms:modified xsi:type="dcterms:W3CDTF">2022-09-27T05:58:36Z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C50E4FE4BDC84BF9842A889112712CBB</vt:lpwstr>
  </property>
</Properties>
</file>